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bookmarkStart w:id="0" w:name="_Toc14901"/>
      <w:bookmarkStart w:id="1" w:name="_Toc14673"/>
    </w:p>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ind w:firstLine="0" w:firstLineChars="0"/>
        <w:jc w:val="both"/>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p>
    <w:p>
      <w:pPr>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hint="default" w:ascii="Times New Roman" w:hAnsi="Times New Roman" w:eastAsia="黑体" w:cs="Times New Roman"/>
          <w:bCs/>
          <w:color w:val="000000" w:themeColor="text1"/>
          <w:kern w:val="44"/>
          <w:sz w:val="36"/>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蛟政办发〔20</w:t>
      </w:r>
      <w:r>
        <w:rPr>
          <w:rFonts w:hint="default" w:ascii="Times New Roman" w:hAnsi="Times New Roman" w:eastAsia="仿宋_GB2312" w:cs="Times New Roman"/>
          <w:sz w:val="32"/>
          <w:szCs w:val="32"/>
          <w:lang w:val="en-US" w:eastAsia="zh-CN"/>
        </w:rPr>
        <w:t>22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rPr>
      </w:pPr>
    </w:p>
    <w:p>
      <w:pPr>
        <w:adjustRightInd w:val="0"/>
        <w:snapToGrid w:val="0"/>
        <w:spacing w:line="560" w:lineRule="exact"/>
        <w:jc w:val="center"/>
        <w:rPr>
          <w:rFonts w:hint="default" w:ascii="Times New Roman" w:hAnsi="Times New Roman" w:eastAsia="方正小标宋简体" w:cs="Times New Roman"/>
          <w:sz w:val="44"/>
          <w:szCs w:val="44"/>
        </w:rPr>
      </w:pP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蛟河市人民</w:t>
      </w:r>
      <w:r>
        <w:rPr>
          <w:rFonts w:hint="default" w:ascii="Times New Roman" w:hAnsi="Times New Roman" w:eastAsia="方正小标宋简体" w:cs="Times New Roman"/>
          <w:sz w:val="44"/>
          <w:szCs w:val="44"/>
          <w:lang w:val="en-US" w:eastAsia="zh-CN"/>
        </w:rPr>
        <w:t>政府办公室</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关于印发蛟河市“十四五”推进农业农村</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现代化规划的通知</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sz w:val="44"/>
          <w:szCs w:val="44"/>
        </w:rPr>
      </w:pP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各乡镇人民政府、街道办事处，开发区管委会，市政府各部门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各垂直管理部门：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sz w:val="32"/>
          <w:szCs w:val="32"/>
        </w:rPr>
        <w:t>《蛟河市“十四五”推进农业农村现代化规划》已经市政府第十九届</w:t>
      </w:r>
      <w:r>
        <w:rPr>
          <w:rFonts w:hint="default" w:ascii="Times New Roman" w:hAnsi="Times New Roman" w:eastAsia="仿宋_GB2312" w:cs="Times New Roman"/>
          <w:sz w:val="32"/>
          <w:szCs w:val="32"/>
          <w:lang w:val="en-US" w:eastAsia="zh-CN"/>
        </w:rPr>
        <w:t>十</w:t>
      </w:r>
      <w:r>
        <w:rPr>
          <w:rFonts w:hint="default" w:ascii="Times New Roman" w:hAnsi="Times New Roman" w:eastAsia="仿宋_GB2312" w:cs="Times New Roman"/>
          <w:sz w:val="32"/>
          <w:szCs w:val="32"/>
        </w:rPr>
        <w:t>次常务会议讨论通过，现印发给你们，请认真贯彻执行。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u w:val="none"/>
        </w:rPr>
      </w:pPr>
    </w:p>
    <w:p>
      <w:pPr>
        <w:pStyle w:val="21"/>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540" w:lineRule="exact"/>
        <w:ind w:firstLine="4480" w:firstLineChars="14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蛟河市人民政府办公室</w:t>
      </w:r>
    </w:p>
    <w:p>
      <w:pPr>
        <w:keepNext w:val="0"/>
        <w:keepLines w:val="0"/>
        <w:pageBreakBefore w:val="0"/>
        <w:widowControl w:val="0"/>
        <w:kinsoku/>
        <w:wordWrap/>
        <w:overflowPunct/>
        <w:topLinePunct w:val="0"/>
        <w:autoSpaceDE/>
        <w:autoSpaceDN/>
        <w:bidi w:val="0"/>
        <w:adjustRightInd w:val="0"/>
        <w:snapToGrid w:val="0"/>
        <w:spacing w:line="540" w:lineRule="exact"/>
        <w:ind w:firstLine="4800" w:firstLineChars="1500"/>
        <w:textAlignment w:val="auto"/>
        <w:rPr>
          <w:rFonts w:hint="default" w:ascii="Times New Roman" w:hAnsi="Times New Roman" w:eastAsia="方正小标宋简体" w:cs="Times New Roman"/>
          <w:sz w:val="44"/>
          <w:szCs w:val="44"/>
        </w:rPr>
      </w:pPr>
      <w:r>
        <w:rPr>
          <w:rFonts w:hint="default" w:ascii="Times New Roman" w:hAnsi="Times New Roman" w:eastAsia="仿宋_GB2312" w:cs="Times New Roman"/>
          <w:color w:val="auto"/>
          <w:sz w:val="32"/>
          <w:szCs w:val="32"/>
          <w:u w:val="none"/>
          <w:lang w:val="en-US" w:eastAsia="zh-CN"/>
        </w:rPr>
        <w:t>2022年8月16日</w:t>
      </w:r>
    </w:p>
    <w:p>
      <w:pPr>
        <w:ind w:firstLine="0" w:firstLineChars="0"/>
        <w:jc w:val="center"/>
        <w:rPr>
          <w:rFonts w:hint="default" w:ascii="Times New Roman" w:hAnsi="Times New Roman" w:eastAsia="黑体" w:cs="Times New Roman"/>
          <w:bCs/>
          <w:color w:val="000000" w:themeColor="text1"/>
          <w:kern w:val="44"/>
          <w:sz w:val="36"/>
          <w:szCs w:val="24"/>
          <w14:textFill>
            <w14:solidFill>
              <w14:schemeClr w14:val="tx1"/>
            </w14:solidFill>
          </w14:textFill>
        </w:rPr>
      </w:pPr>
    </w:p>
    <w:bookmarkEnd w:id="0"/>
    <w:bookmarkEnd w:id="1"/>
    <w:p>
      <w:pPr>
        <w:ind w:firstLine="0" w:firstLineChars="0"/>
        <w:jc w:val="center"/>
        <w:rPr>
          <w:rFonts w:hint="default" w:ascii="Times New Roman" w:hAnsi="Times New Roman" w:eastAsia="宋体" w:cs="Times New Roman"/>
          <w:b/>
          <w:bCs/>
          <w:color w:val="000000" w:themeColor="text1"/>
          <w:sz w:val="44"/>
          <w:szCs w:val="48"/>
          <w14:textFill>
            <w14:solidFill>
              <w14:schemeClr w14:val="tx1"/>
            </w14:solidFill>
          </w14:textFill>
        </w:rPr>
      </w:pPr>
      <w:r>
        <w:rPr>
          <w:rFonts w:hint="default" w:ascii="Times New Roman" w:hAnsi="Times New Roman" w:eastAsia="宋体" w:cs="Times New Roman"/>
          <w:b/>
          <w:bCs/>
          <w:color w:val="000000" w:themeColor="text1"/>
          <w:sz w:val="44"/>
          <w:szCs w:val="48"/>
          <w14:textFill>
            <w14:solidFill>
              <w14:schemeClr w14:val="tx1"/>
            </w14:solidFill>
          </w14:textFill>
        </w:rPr>
        <w:t>目 录</w:t>
      </w:r>
    </w:p>
    <w:p>
      <w:pPr>
        <w:pStyle w:val="2"/>
        <w:ind w:firstLine="640"/>
        <w:rPr>
          <w:rFonts w:hint="default" w:ascii="Times New Roman" w:hAnsi="Times New Roman" w:cs="Times New Roman"/>
          <w:color w:val="000000" w:themeColor="text1"/>
          <w14:textFill>
            <w14:solidFill>
              <w14:schemeClr w14:val="tx1"/>
            </w14:solidFill>
          </w14:textFill>
        </w:rPr>
      </w:pP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b w:val="0"/>
          <w:i w:val="0"/>
          <w:color w:val="000000" w:themeColor="text1"/>
          <w:sz w:val="32"/>
          <w14:textFill>
            <w14:solidFill>
              <w14:schemeClr w14:val="tx1"/>
            </w14:solidFill>
          </w14:textFill>
        </w:rPr>
        <w:fldChar w:fldCharType="begin"/>
      </w:r>
      <w:r>
        <w:rPr>
          <w:rFonts w:hint="default" w:ascii="Times New Roman" w:hAnsi="Times New Roman" w:eastAsia="仿宋_GB2312" w:cs="Times New Roman"/>
          <w:b w:val="0"/>
          <w:i w:val="0"/>
          <w:color w:val="000000" w:themeColor="text1"/>
          <w:sz w:val="32"/>
          <w14:textFill>
            <w14:solidFill>
              <w14:schemeClr w14:val="tx1"/>
            </w14:solidFill>
          </w14:textFill>
        </w:rPr>
        <w:instrText xml:space="preserve">TOC \o "1-2" \h \u </w:instrText>
      </w:r>
      <w:r>
        <w:rPr>
          <w:rFonts w:hint="default" w:ascii="Times New Roman" w:hAnsi="Times New Roman" w:eastAsia="仿宋_GB2312" w:cs="Times New Roman"/>
          <w:b w:val="0"/>
          <w:i w:val="0"/>
          <w:color w:val="000000" w:themeColor="text1"/>
          <w:sz w:val="32"/>
          <w14:textFill>
            <w14:solidFill>
              <w14:schemeClr w14:val="tx1"/>
            </w14:solidFill>
          </w14:textFill>
        </w:rPr>
        <w:fldChar w:fldCharType="separate"/>
      </w:r>
      <w:r>
        <w:rPr>
          <w:rFonts w:hint="default" w:ascii="Times New Roman" w:hAnsi="Times New Roman" w:eastAsia="宋体" w:cs="Times New Roman"/>
          <w:b/>
          <w:bCs/>
          <w:i w:val="0"/>
          <w:color w:val="000000" w:themeColor="text1"/>
          <w14:textFill>
            <w14:solidFill>
              <w14:schemeClr w14:val="tx1"/>
            </w14:solidFill>
          </w14:textFill>
        </w:rPr>
        <w:fldChar w:fldCharType="begin"/>
      </w:r>
      <w:r>
        <w:rPr>
          <w:rFonts w:hint="default" w:ascii="Times New Roman" w:hAnsi="Times New Roman" w:eastAsia="宋体" w:cs="Times New Roman"/>
          <w:b/>
          <w:bCs/>
          <w:i w:val="0"/>
        </w:rPr>
        <w:instrText xml:space="preserve"> HYPERLINK \l _Toc26793 </w:instrText>
      </w:r>
      <w:r>
        <w:rPr>
          <w:rFonts w:hint="default" w:ascii="Times New Roman" w:hAnsi="Times New Roman" w:eastAsia="宋体" w:cs="Times New Roman"/>
          <w:b/>
          <w:bCs/>
          <w:i w:val="0"/>
        </w:rPr>
        <w:fldChar w:fldCharType="separate"/>
      </w:r>
      <w:r>
        <w:rPr>
          <w:rFonts w:hint="default" w:ascii="Times New Roman" w:hAnsi="Times New Roman" w:eastAsia="宋体" w:cs="Times New Roman"/>
          <w:b/>
          <w:bCs/>
        </w:rPr>
        <w:t>一、发展基础</w:t>
      </w:r>
      <w:r>
        <w:rPr>
          <w:rFonts w:hint="default" w:ascii="Times New Roman" w:hAnsi="Times New Roman" w:eastAsia="宋体" w:cs="Times New Roman"/>
          <w:b/>
          <w:bCs/>
        </w:rPr>
        <w:tab/>
      </w:r>
      <w:r>
        <w:rPr>
          <w:rFonts w:hint="default" w:ascii="Times New Roman" w:hAnsi="Times New Roman" w:eastAsia="宋体" w:cs="Times New Roman"/>
          <w:b/>
          <w:bCs/>
        </w:rPr>
        <w:fldChar w:fldCharType="begin"/>
      </w:r>
      <w:r>
        <w:rPr>
          <w:rFonts w:hint="default" w:ascii="Times New Roman" w:hAnsi="Times New Roman" w:eastAsia="宋体" w:cs="Times New Roman"/>
          <w:b/>
          <w:bCs/>
        </w:rPr>
        <w:instrText xml:space="preserve"> PAGEREF _Toc26793 \h </w:instrText>
      </w:r>
      <w:r>
        <w:rPr>
          <w:rFonts w:hint="default" w:ascii="Times New Roman" w:hAnsi="Times New Roman" w:eastAsia="宋体" w:cs="Times New Roman"/>
          <w:b/>
          <w:bCs/>
        </w:rPr>
        <w:fldChar w:fldCharType="separate"/>
      </w:r>
      <w:r>
        <w:rPr>
          <w:rFonts w:hint="default" w:ascii="Times New Roman" w:hAnsi="Times New Roman" w:eastAsia="宋体" w:cs="Times New Roman"/>
          <w:b/>
          <w:bCs/>
        </w:rPr>
        <w:t>1</w:t>
      </w:r>
      <w:r>
        <w:rPr>
          <w:rFonts w:hint="default" w:ascii="Times New Roman" w:hAnsi="Times New Roman" w:eastAsia="宋体" w:cs="Times New Roman"/>
          <w:b/>
          <w:bCs/>
        </w:rPr>
        <w:fldChar w:fldCharType="end"/>
      </w:r>
      <w:r>
        <w:rPr>
          <w:rFonts w:hint="default" w:ascii="Times New Roman" w:hAnsi="Times New Roman" w:eastAsia="宋体" w:cs="Times New Roman"/>
          <w:b/>
          <w:bCs/>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_Toc20939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（一）</w:t>
      </w:r>
      <w:r>
        <w:rPr>
          <w:rFonts w:hint="default" w:ascii="Times New Roman" w:hAnsi="Times New Roman" w:eastAsia="楷体_GB2312" w:cs="Times New Roman"/>
          <w:lang w:val="en-US" w:eastAsia="zh-CN"/>
        </w:rPr>
        <w:t>农业现代化建设成果显著</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_Toc20939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_Toc21702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lang w:val="en-US" w:eastAsia="zh-CN"/>
        </w:rPr>
        <w:t>（二）农村现代化建设进展明显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_Toc21702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_Toc289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w:t>
      </w:r>
      <w:r>
        <w:rPr>
          <w:rFonts w:hint="default" w:ascii="Times New Roman" w:hAnsi="Times New Roman" w:eastAsia="楷体_GB2312" w:cs="Times New Roman"/>
          <w:lang w:val="en-US" w:eastAsia="zh-CN"/>
        </w:rPr>
        <w:t>三</w:t>
      </w:r>
      <w:r>
        <w:rPr>
          <w:rFonts w:hint="default" w:ascii="Times New Roman" w:hAnsi="Times New Roman" w:eastAsia="楷体_GB2312" w:cs="Times New Roman"/>
        </w:rPr>
        <w:t>）乡村治理能力不断提升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_Toc289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_Toc19165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w:t>
      </w:r>
      <w:r>
        <w:rPr>
          <w:rFonts w:hint="default" w:ascii="Times New Roman" w:hAnsi="Times New Roman" w:eastAsia="楷体_GB2312" w:cs="Times New Roman"/>
          <w:lang w:val="en-US" w:eastAsia="zh-CN"/>
        </w:rPr>
        <w:t>四</w:t>
      </w:r>
      <w:r>
        <w:rPr>
          <w:rFonts w:hint="default" w:ascii="Times New Roman" w:hAnsi="Times New Roman" w:eastAsia="楷体_GB2312" w:cs="Times New Roman"/>
        </w:rPr>
        <w:t>）农村综合改革</w:t>
      </w:r>
      <w:r>
        <w:rPr>
          <w:rFonts w:hint="default" w:ascii="Times New Roman" w:hAnsi="Times New Roman" w:eastAsia="楷体_GB2312" w:cs="Times New Roman"/>
          <w:lang w:val="en-US" w:eastAsia="zh-CN"/>
        </w:rPr>
        <w:t>持续深化</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_Toc19165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_Toc30002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w:t>
      </w:r>
      <w:r>
        <w:rPr>
          <w:rFonts w:hint="default" w:ascii="Times New Roman" w:hAnsi="Times New Roman" w:eastAsia="楷体_GB2312" w:cs="Times New Roman"/>
          <w:lang w:val="en-US" w:eastAsia="zh-CN"/>
        </w:rPr>
        <w:t>五</w:t>
      </w:r>
      <w:r>
        <w:rPr>
          <w:rFonts w:hint="default" w:ascii="Times New Roman" w:hAnsi="Times New Roman" w:eastAsia="楷体_GB2312" w:cs="Times New Roman"/>
        </w:rPr>
        <w:t>）脱贫攻坚目标任务如期完成</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_Toc30002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黑体" w:cs="Times New Roman"/>
          <w:i w:val="0"/>
          <w:color w:val="000000" w:themeColor="text1"/>
          <w14:textFill>
            <w14:solidFill>
              <w14:schemeClr w14:val="tx1"/>
            </w14:solidFill>
          </w14:textFill>
        </w:rPr>
        <w:fldChar w:fldCharType="begin"/>
      </w:r>
      <w:r>
        <w:rPr>
          <w:rFonts w:hint="default" w:ascii="Times New Roman" w:hAnsi="Times New Roman" w:eastAsia="黑体" w:cs="Times New Roman"/>
          <w:i w:val="0"/>
        </w:rPr>
        <w:instrText xml:space="preserve"> HYPERLINK \l _Toc17347 </w:instrText>
      </w:r>
      <w:r>
        <w:rPr>
          <w:rFonts w:hint="default" w:ascii="Times New Roman" w:hAnsi="Times New Roman" w:eastAsia="黑体" w:cs="Times New Roman"/>
          <w:i w:val="0"/>
        </w:rPr>
        <w:fldChar w:fldCharType="separate"/>
      </w:r>
      <w:r>
        <w:rPr>
          <w:rFonts w:hint="default" w:ascii="Times New Roman" w:hAnsi="Times New Roman" w:eastAsia="黑体" w:cs="Times New Roman"/>
        </w:rPr>
        <w:t>二、发展形势</w:t>
      </w:r>
      <w:r>
        <w:rPr>
          <w:rFonts w:hint="default" w:ascii="Times New Roman" w:hAnsi="Times New Roman" w:eastAsia="黑体" w:cs="Times New Roman"/>
        </w:rPr>
        <w:tab/>
      </w:r>
      <w:r>
        <w:rPr>
          <w:rFonts w:hint="default" w:ascii="Times New Roman" w:hAnsi="Times New Roman" w:eastAsia="黑体" w:cs="Times New Roman"/>
        </w:rPr>
        <w:fldChar w:fldCharType="begin"/>
      </w:r>
      <w:r>
        <w:rPr>
          <w:rFonts w:hint="default" w:ascii="Times New Roman" w:hAnsi="Times New Roman" w:eastAsia="黑体" w:cs="Times New Roman"/>
        </w:rPr>
        <w:instrText xml:space="preserve"> PAGEREF _Toc17347 \h </w:instrText>
      </w:r>
      <w:r>
        <w:rPr>
          <w:rFonts w:hint="default" w:ascii="Times New Roman" w:hAnsi="Times New Roman" w:eastAsia="黑体" w:cs="Times New Roman"/>
        </w:rPr>
        <w:fldChar w:fldCharType="separate"/>
      </w:r>
      <w:r>
        <w:rPr>
          <w:rFonts w:hint="default" w:ascii="Times New Roman" w:hAnsi="Times New Roman" w:eastAsia="黑体" w:cs="Times New Roman"/>
        </w:rPr>
        <w:t>6</w:t>
      </w:r>
      <w:r>
        <w:rPr>
          <w:rFonts w:hint="default" w:ascii="Times New Roman" w:hAnsi="Times New Roman" w:eastAsia="黑体" w:cs="Times New Roman"/>
        </w:rPr>
        <w:fldChar w:fldCharType="end"/>
      </w:r>
      <w:r>
        <w:rPr>
          <w:rFonts w:hint="default" w:ascii="Times New Roman" w:hAnsi="Times New Roman" w:eastAsia="黑体"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_Toc726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（一）发展机遇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_Toc726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_Toc19195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（二）面临挑战</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_Toc19195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eastAsia="黑体" w:cs="Times New Roman"/>
        </w:rPr>
      </w:pPr>
      <w:r>
        <w:rPr>
          <w:rFonts w:hint="default" w:ascii="Times New Roman" w:hAnsi="Times New Roman" w:eastAsia="黑体" w:cs="Times New Roman"/>
          <w:i w:val="0"/>
          <w:color w:val="000000" w:themeColor="text1"/>
          <w14:textFill>
            <w14:solidFill>
              <w14:schemeClr w14:val="tx1"/>
            </w14:solidFill>
          </w14:textFill>
        </w:rPr>
        <w:fldChar w:fldCharType="begin"/>
      </w:r>
      <w:r>
        <w:rPr>
          <w:rFonts w:hint="default" w:ascii="Times New Roman" w:hAnsi="Times New Roman" w:eastAsia="黑体" w:cs="Times New Roman"/>
          <w:i w:val="0"/>
        </w:rPr>
        <w:instrText xml:space="preserve"> HYPERLINK \l _Toc4448 </w:instrText>
      </w:r>
      <w:r>
        <w:rPr>
          <w:rFonts w:hint="default" w:ascii="Times New Roman" w:hAnsi="Times New Roman" w:eastAsia="黑体" w:cs="Times New Roman"/>
          <w:i w:val="0"/>
        </w:rPr>
        <w:fldChar w:fldCharType="separate"/>
      </w:r>
      <w:r>
        <w:rPr>
          <w:rFonts w:hint="default" w:ascii="Times New Roman" w:hAnsi="Times New Roman" w:eastAsia="黑体" w:cs="Times New Roman"/>
        </w:rPr>
        <w:t>三、总体思路</w:t>
      </w:r>
      <w:r>
        <w:rPr>
          <w:rFonts w:hint="default" w:ascii="Times New Roman" w:hAnsi="Times New Roman" w:eastAsia="黑体" w:cs="Times New Roman"/>
        </w:rPr>
        <w:tab/>
      </w:r>
      <w:r>
        <w:rPr>
          <w:rFonts w:hint="default" w:ascii="Times New Roman" w:hAnsi="Times New Roman" w:eastAsia="黑体" w:cs="Times New Roman"/>
        </w:rPr>
        <w:fldChar w:fldCharType="begin"/>
      </w:r>
      <w:r>
        <w:rPr>
          <w:rFonts w:hint="default" w:ascii="Times New Roman" w:hAnsi="Times New Roman" w:eastAsia="黑体" w:cs="Times New Roman"/>
        </w:rPr>
        <w:instrText xml:space="preserve"> PAGEREF _Toc4448 \h </w:instrText>
      </w:r>
      <w:r>
        <w:rPr>
          <w:rFonts w:hint="default" w:ascii="Times New Roman" w:hAnsi="Times New Roman" w:eastAsia="黑体" w:cs="Times New Roman"/>
        </w:rPr>
        <w:fldChar w:fldCharType="separate"/>
      </w:r>
      <w:r>
        <w:rPr>
          <w:rFonts w:hint="default" w:ascii="Times New Roman" w:hAnsi="Times New Roman" w:eastAsia="黑体" w:cs="Times New Roman"/>
        </w:rPr>
        <w:t>9</w:t>
      </w:r>
      <w:r>
        <w:rPr>
          <w:rFonts w:hint="default" w:ascii="Times New Roman" w:hAnsi="Times New Roman" w:eastAsia="黑体" w:cs="Times New Roman"/>
        </w:rPr>
        <w:fldChar w:fldCharType="end"/>
      </w:r>
      <w:r>
        <w:rPr>
          <w:rFonts w:hint="default" w:ascii="Times New Roman" w:hAnsi="Times New Roman" w:eastAsia="黑体"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_Toc5351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（一）指导思想</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_Toc5351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_Toc11421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（二）基本原则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_Toc11421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_Toc19275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（三）发展目标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_Toc19275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eastAsia="黑体" w:cs="Times New Roman"/>
        </w:rPr>
      </w:pPr>
      <w:r>
        <w:rPr>
          <w:rFonts w:hint="default" w:ascii="Times New Roman" w:hAnsi="Times New Roman" w:eastAsia="黑体" w:cs="Times New Roman"/>
          <w:i w:val="0"/>
          <w:color w:val="000000" w:themeColor="text1"/>
          <w14:textFill>
            <w14:solidFill>
              <w14:schemeClr w14:val="tx1"/>
            </w14:solidFill>
          </w14:textFill>
        </w:rPr>
        <w:fldChar w:fldCharType="begin"/>
      </w:r>
      <w:r>
        <w:rPr>
          <w:rFonts w:hint="default" w:ascii="Times New Roman" w:hAnsi="Times New Roman" w:eastAsia="黑体" w:cs="Times New Roman"/>
          <w:i w:val="0"/>
        </w:rPr>
        <w:instrText xml:space="preserve"> HYPERLINK \l _Toc6087 </w:instrText>
      </w:r>
      <w:r>
        <w:rPr>
          <w:rFonts w:hint="default" w:ascii="Times New Roman" w:hAnsi="Times New Roman" w:eastAsia="黑体" w:cs="Times New Roman"/>
          <w:i w:val="0"/>
        </w:rPr>
        <w:fldChar w:fldCharType="separate"/>
      </w:r>
      <w:r>
        <w:rPr>
          <w:rFonts w:hint="default" w:ascii="Times New Roman" w:hAnsi="Times New Roman" w:eastAsia="黑体" w:cs="Times New Roman"/>
        </w:rPr>
        <w:t>四、发展布局</w:t>
      </w:r>
      <w:r>
        <w:rPr>
          <w:rFonts w:hint="default" w:ascii="Times New Roman" w:hAnsi="Times New Roman" w:eastAsia="黑体" w:cs="Times New Roman"/>
        </w:rPr>
        <w:tab/>
      </w:r>
      <w:r>
        <w:rPr>
          <w:rFonts w:hint="default" w:ascii="Times New Roman" w:hAnsi="Times New Roman" w:eastAsia="黑体" w:cs="Times New Roman"/>
        </w:rPr>
        <w:fldChar w:fldCharType="begin"/>
      </w:r>
      <w:r>
        <w:rPr>
          <w:rFonts w:hint="default" w:ascii="Times New Roman" w:hAnsi="Times New Roman" w:eastAsia="黑体" w:cs="Times New Roman"/>
        </w:rPr>
        <w:instrText xml:space="preserve"> PAGEREF _Toc6087 \h </w:instrText>
      </w:r>
      <w:r>
        <w:rPr>
          <w:rFonts w:hint="default" w:ascii="Times New Roman" w:hAnsi="Times New Roman" w:eastAsia="黑体" w:cs="Times New Roman"/>
        </w:rPr>
        <w:fldChar w:fldCharType="separate"/>
      </w:r>
      <w:r>
        <w:rPr>
          <w:rFonts w:hint="default" w:ascii="Times New Roman" w:hAnsi="Times New Roman" w:eastAsia="黑体" w:cs="Times New Roman"/>
        </w:rPr>
        <w:t>12</w:t>
      </w:r>
      <w:r>
        <w:rPr>
          <w:rFonts w:hint="default" w:ascii="Times New Roman" w:hAnsi="Times New Roman" w:eastAsia="黑体" w:cs="Times New Roman"/>
        </w:rPr>
        <w:fldChar w:fldCharType="end"/>
      </w:r>
      <w:r>
        <w:rPr>
          <w:rFonts w:hint="default" w:ascii="Times New Roman" w:hAnsi="Times New Roman" w:eastAsia="黑体"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_Toc27372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rPr>
        <w:t>（一）产业布局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_Toc27372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_Toc28954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（二）功能布局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_Toc28954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_Toc9065 </w:instrText>
      </w:r>
      <w:r>
        <w:rPr>
          <w:rFonts w:hint="default" w:ascii="Times New Roman" w:hAnsi="Times New Roman" w:eastAsia="仿宋_GB2312" w:cs="Times New Roman"/>
          <w:i w:val="0"/>
        </w:rPr>
        <w:fldChar w:fldCharType="separate"/>
      </w:r>
      <w:r>
        <w:rPr>
          <w:rFonts w:hint="default" w:ascii="Times New Roman" w:hAnsi="Times New Roman" w:eastAsia="黑体" w:cs="Times New Roman"/>
          <w:szCs w:val="32"/>
        </w:rPr>
        <w:t>五、建强现代农业三大体系，提升粮食等主要农产品有效供给能力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_Toc9065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_Toc13028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（一）提升粮食和重要农产品供给保障</w:t>
      </w:r>
      <w:bookmarkStart w:id="102" w:name="_GoBack"/>
      <w:bookmarkEnd w:id="102"/>
      <w:r>
        <w:rPr>
          <w:rFonts w:hint="default" w:ascii="Times New Roman" w:hAnsi="Times New Roman" w:eastAsia="楷体_GB2312" w:cs="Times New Roman"/>
          <w:szCs w:val="32"/>
        </w:rPr>
        <w:t>能力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_Toc13028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_Toc29295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（二）建设精细化现代农业产业体系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_Toc29295 \h </w:instrText>
      </w:r>
      <w:r>
        <w:rPr>
          <w:rFonts w:hint="default" w:ascii="Times New Roman" w:hAnsi="Times New Roman" w:cs="Times New Roman"/>
        </w:rPr>
        <w:fldChar w:fldCharType="separate"/>
      </w:r>
      <w:r>
        <w:rPr>
          <w:rFonts w:hint="default" w:ascii="Times New Roman" w:hAnsi="Times New Roman" w:cs="Times New Roman"/>
        </w:rPr>
        <w:t>22</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_Toc1610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（三）建设精准化现代农业生产体系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_Toc1610 \h </w:instrText>
      </w:r>
      <w:r>
        <w:rPr>
          <w:rFonts w:hint="default" w:ascii="Times New Roman" w:hAnsi="Times New Roman" w:cs="Times New Roman"/>
        </w:rPr>
        <w:fldChar w:fldCharType="separate"/>
      </w:r>
      <w:r>
        <w:rPr>
          <w:rFonts w:hint="default" w:ascii="Times New Roman" w:hAnsi="Times New Roman" w:cs="Times New Roman"/>
        </w:rPr>
        <w:t>24</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_Toc15864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（四）建设精益化现代农业经营体系</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_Toc15864 \h </w:instrText>
      </w:r>
      <w:r>
        <w:rPr>
          <w:rFonts w:hint="default" w:ascii="Times New Roman" w:hAnsi="Times New Roman" w:cs="Times New Roman"/>
        </w:rPr>
        <w:fldChar w:fldCharType="separate"/>
      </w:r>
      <w:r>
        <w:rPr>
          <w:rFonts w:hint="default" w:ascii="Times New Roman" w:hAnsi="Times New Roman" w:cs="Times New Roman"/>
        </w:rPr>
        <w:t>25</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_Toc15647 </w:instrText>
      </w:r>
      <w:r>
        <w:rPr>
          <w:rFonts w:hint="default" w:ascii="Times New Roman" w:hAnsi="Times New Roman" w:eastAsia="仿宋_GB2312" w:cs="Times New Roman"/>
          <w:i w:val="0"/>
        </w:rPr>
        <w:fldChar w:fldCharType="separate"/>
      </w:r>
      <w:r>
        <w:rPr>
          <w:rFonts w:hint="default" w:ascii="Times New Roman" w:hAnsi="Times New Roman" w:eastAsia="黑体" w:cs="Times New Roman"/>
          <w:szCs w:val="32"/>
          <w:highlight w:val="none"/>
        </w:rPr>
        <w:t>六、加快农业现代化步伐，构建蛟河</w:t>
      </w:r>
      <w:r>
        <w:rPr>
          <w:rFonts w:hint="default" w:ascii="Times New Roman" w:hAnsi="Times New Roman" w:eastAsia="黑体" w:cs="Times New Roman"/>
          <w:szCs w:val="32"/>
          <w:highlight w:val="none"/>
          <w:lang w:val="en-US" w:eastAsia="zh-CN"/>
        </w:rPr>
        <w:t>现代农业</w:t>
      </w:r>
      <w:r>
        <w:rPr>
          <w:rFonts w:hint="default" w:ascii="Times New Roman" w:hAnsi="Times New Roman" w:eastAsia="黑体" w:cs="Times New Roman"/>
          <w:szCs w:val="32"/>
          <w:highlight w:val="none"/>
        </w:rPr>
        <w:t>综合竞争力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_Toc15647 \h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_Toc3395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（一）深入推进农村一二三产业融合</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_Toc3395 \h </w:instrText>
      </w:r>
      <w:r>
        <w:rPr>
          <w:rFonts w:hint="default" w:ascii="Times New Roman" w:hAnsi="Times New Roman" w:cs="Times New Roman"/>
        </w:rPr>
        <w:fldChar w:fldCharType="separate"/>
      </w:r>
      <w:r>
        <w:rPr>
          <w:rFonts w:hint="default" w:ascii="Times New Roman" w:hAnsi="Times New Roman" w:cs="Times New Roman"/>
        </w:rPr>
        <w:t>27</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_Toc13179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（二）做活做新农村电商</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_Toc13179 \h </w:instrText>
      </w:r>
      <w:r>
        <w:rPr>
          <w:rFonts w:hint="default" w:ascii="Times New Roman" w:hAnsi="Times New Roman" w:cs="Times New Roman"/>
        </w:rPr>
        <w:fldChar w:fldCharType="separate"/>
      </w:r>
      <w:r>
        <w:rPr>
          <w:rFonts w:hint="default" w:ascii="Times New Roman" w:hAnsi="Times New Roman" w:cs="Times New Roman"/>
        </w:rPr>
        <w:t>28</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_Toc16021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（三）大力发展休闲农业和乡村旅游业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_Toc16021 \h </w:instrText>
      </w:r>
      <w:r>
        <w:rPr>
          <w:rFonts w:hint="default" w:ascii="Times New Roman" w:hAnsi="Times New Roman" w:cs="Times New Roman"/>
        </w:rPr>
        <w:fldChar w:fldCharType="separate"/>
      </w:r>
      <w:r>
        <w:rPr>
          <w:rFonts w:hint="default" w:ascii="Times New Roman" w:hAnsi="Times New Roman" w:cs="Times New Roman"/>
        </w:rPr>
        <w:t>29</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_Toc7923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（四）着力打造蛟河特色农产品品牌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_Toc7923 \h </w:instrText>
      </w:r>
      <w:r>
        <w:rPr>
          <w:rFonts w:hint="default" w:ascii="Times New Roman" w:hAnsi="Times New Roman" w:cs="Times New Roman"/>
        </w:rPr>
        <w:fldChar w:fldCharType="separate"/>
      </w:r>
      <w:r>
        <w:rPr>
          <w:rFonts w:hint="default" w:ascii="Times New Roman" w:hAnsi="Times New Roman" w:cs="Times New Roman"/>
        </w:rPr>
        <w:t>31</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_Toc18443 </w:instrText>
      </w:r>
      <w:r>
        <w:rPr>
          <w:rFonts w:hint="default" w:ascii="Times New Roman" w:hAnsi="Times New Roman" w:eastAsia="仿宋_GB2312" w:cs="Times New Roman"/>
          <w:i w:val="0"/>
        </w:rPr>
        <w:fldChar w:fldCharType="separate"/>
      </w:r>
      <w:r>
        <w:rPr>
          <w:rFonts w:hint="default" w:ascii="Times New Roman" w:hAnsi="Times New Roman" w:eastAsia="黑体" w:cs="Times New Roman"/>
          <w:kern w:val="44"/>
        </w:rPr>
        <w:t>七、巩固拓展脱贫攻坚成果，实现同乡村振兴有效衔接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_Toc18443 \h </w:instrText>
      </w:r>
      <w:r>
        <w:rPr>
          <w:rFonts w:hint="default" w:ascii="Times New Roman" w:hAnsi="Times New Roman" w:cs="Times New Roman"/>
        </w:rPr>
        <w:fldChar w:fldCharType="separate"/>
      </w:r>
      <w:r>
        <w:rPr>
          <w:rFonts w:hint="default" w:ascii="Times New Roman" w:hAnsi="Times New Roman" w:cs="Times New Roman"/>
        </w:rPr>
        <w:t>32</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_Toc16540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（一）建立健全巩固拓展脱贫攻坚成果长效机制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_Toc16540 \h </w:instrText>
      </w:r>
      <w:r>
        <w:rPr>
          <w:rFonts w:hint="default" w:ascii="Times New Roman" w:hAnsi="Times New Roman" w:cs="Times New Roman"/>
        </w:rPr>
        <w:fldChar w:fldCharType="separate"/>
      </w:r>
      <w:r>
        <w:rPr>
          <w:rFonts w:hint="default" w:ascii="Times New Roman" w:hAnsi="Times New Roman" w:cs="Times New Roman"/>
        </w:rPr>
        <w:t>33</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_Toc17418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（二）健全农村低收入人口常态化帮扶机制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_Toc17418 \h </w:instrText>
      </w:r>
      <w:r>
        <w:rPr>
          <w:rFonts w:hint="default" w:ascii="Times New Roman" w:hAnsi="Times New Roman" w:cs="Times New Roman"/>
        </w:rPr>
        <w:fldChar w:fldCharType="separate"/>
      </w:r>
      <w:r>
        <w:rPr>
          <w:rFonts w:hint="default" w:ascii="Times New Roman" w:hAnsi="Times New Roman" w:cs="Times New Roman"/>
        </w:rPr>
        <w:t>34</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_Toc22606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（三）加强脱贫攻坚与乡村振兴有效衔接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_Toc22606 \h </w:instrText>
      </w:r>
      <w:r>
        <w:rPr>
          <w:rFonts w:hint="default" w:ascii="Times New Roman" w:hAnsi="Times New Roman" w:cs="Times New Roman"/>
        </w:rPr>
        <w:fldChar w:fldCharType="separate"/>
      </w:r>
      <w:r>
        <w:rPr>
          <w:rFonts w:hint="default" w:ascii="Times New Roman" w:hAnsi="Times New Roman" w:cs="Times New Roman"/>
        </w:rPr>
        <w:t>37</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_Toc19976 </w:instrText>
      </w:r>
      <w:r>
        <w:rPr>
          <w:rFonts w:hint="default" w:ascii="Times New Roman" w:hAnsi="Times New Roman" w:eastAsia="仿宋_GB2312" w:cs="Times New Roman"/>
          <w:i w:val="0"/>
        </w:rPr>
        <w:fldChar w:fldCharType="separate"/>
      </w:r>
      <w:r>
        <w:rPr>
          <w:rFonts w:hint="default" w:ascii="Times New Roman" w:hAnsi="Times New Roman" w:eastAsia="黑体" w:cs="Times New Roman"/>
          <w:kern w:val="44"/>
        </w:rPr>
        <w:t>八、持续深化农村改革，增强农业农村发展活力</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_Toc19976 \h </w:instrText>
      </w:r>
      <w:r>
        <w:rPr>
          <w:rFonts w:hint="default" w:ascii="Times New Roman" w:hAnsi="Times New Roman" w:cs="Times New Roman"/>
        </w:rPr>
        <w:fldChar w:fldCharType="separate"/>
      </w:r>
      <w:r>
        <w:rPr>
          <w:rFonts w:hint="default" w:ascii="Times New Roman" w:hAnsi="Times New Roman" w:cs="Times New Roman"/>
        </w:rPr>
        <w:t>38</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_Toc27319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（一）全面深化农村改革</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_Toc27319 \h </w:instrText>
      </w:r>
      <w:r>
        <w:rPr>
          <w:rFonts w:hint="default" w:ascii="Times New Roman" w:hAnsi="Times New Roman" w:cs="Times New Roman"/>
        </w:rPr>
        <w:fldChar w:fldCharType="separate"/>
      </w:r>
      <w:r>
        <w:rPr>
          <w:rFonts w:hint="default" w:ascii="Times New Roman" w:hAnsi="Times New Roman" w:cs="Times New Roman"/>
        </w:rPr>
        <w:t>38</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_Toc6852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（二）创新农村金融保险服务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_Toc6852 \h </w:instrText>
      </w:r>
      <w:r>
        <w:rPr>
          <w:rFonts w:hint="default" w:ascii="Times New Roman" w:hAnsi="Times New Roman" w:cs="Times New Roman"/>
        </w:rPr>
        <w:fldChar w:fldCharType="separate"/>
      </w:r>
      <w:r>
        <w:rPr>
          <w:rFonts w:hint="default" w:ascii="Times New Roman" w:hAnsi="Times New Roman" w:cs="Times New Roman"/>
        </w:rPr>
        <w:t>41</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_Toc14651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（三）加强乡村人才队伍建设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_Toc14651 \h </w:instrText>
      </w:r>
      <w:r>
        <w:rPr>
          <w:rFonts w:hint="default" w:ascii="Times New Roman" w:hAnsi="Times New Roman" w:cs="Times New Roman"/>
        </w:rPr>
        <w:fldChar w:fldCharType="separate"/>
      </w:r>
      <w:r>
        <w:rPr>
          <w:rFonts w:hint="default" w:ascii="Times New Roman" w:hAnsi="Times New Roman" w:cs="Times New Roman"/>
        </w:rPr>
        <w:t>42</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_Toc20271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（四）加快发展农村集体经济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_Toc20271 \h </w:instrText>
      </w:r>
      <w:r>
        <w:rPr>
          <w:rFonts w:hint="default" w:ascii="Times New Roman" w:hAnsi="Times New Roman" w:cs="Times New Roman"/>
        </w:rPr>
        <w:fldChar w:fldCharType="separate"/>
      </w:r>
      <w:r>
        <w:rPr>
          <w:rFonts w:hint="default" w:ascii="Times New Roman" w:hAnsi="Times New Roman" w:cs="Times New Roman"/>
        </w:rPr>
        <w:t>43</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_Toc444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（五）持续促进农民增收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_Toc444 \h </w:instrText>
      </w:r>
      <w:r>
        <w:rPr>
          <w:rFonts w:hint="default" w:ascii="Times New Roman" w:hAnsi="Times New Roman" w:cs="Times New Roman"/>
        </w:rPr>
        <w:fldChar w:fldCharType="separate"/>
      </w:r>
      <w:r>
        <w:rPr>
          <w:rFonts w:hint="default" w:ascii="Times New Roman" w:hAnsi="Times New Roman" w:cs="Times New Roman"/>
        </w:rPr>
        <w:t>44</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_Toc29576 </w:instrText>
      </w:r>
      <w:r>
        <w:rPr>
          <w:rFonts w:hint="default" w:ascii="Times New Roman" w:hAnsi="Times New Roman" w:eastAsia="仿宋_GB2312" w:cs="Times New Roman"/>
          <w:i w:val="0"/>
        </w:rPr>
        <w:fldChar w:fldCharType="separate"/>
      </w:r>
      <w:r>
        <w:rPr>
          <w:rFonts w:hint="default" w:ascii="Times New Roman" w:hAnsi="Times New Roman" w:eastAsia="黑体" w:cs="Times New Roman"/>
          <w:szCs w:val="32"/>
        </w:rPr>
        <w:t>九、保障措施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_Toc29576 \h </w:instrText>
      </w:r>
      <w:r>
        <w:rPr>
          <w:rFonts w:hint="default" w:ascii="Times New Roman" w:hAnsi="Times New Roman" w:cs="Times New Roman"/>
        </w:rPr>
        <w:fldChar w:fldCharType="separate"/>
      </w:r>
      <w:r>
        <w:rPr>
          <w:rFonts w:hint="default" w:ascii="Times New Roman" w:hAnsi="Times New Roman" w:cs="Times New Roman"/>
        </w:rPr>
        <w:t>45</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_Toc3518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（一）加强组织领导，推动规划顺利实施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_Toc3518 \h </w:instrText>
      </w:r>
      <w:r>
        <w:rPr>
          <w:rFonts w:hint="default" w:ascii="Times New Roman" w:hAnsi="Times New Roman" w:cs="Times New Roman"/>
        </w:rPr>
        <w:fldChar w:fldCharType="separate"/>
      </w:r>
      <w:r>
        <w:rPr>
          <w:rFonts w:hint="default" w:ascii="Times New Roman" w:hAnsi="Times New Roman" w:cs="Times New Roman"/>
        </w:rPr>
        <w:t>45</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_Toc3199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（二）强化政策保障，改善农业发展环境</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_Toc3199 \h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_Toc4992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（三）加大投入力度，夯实农业发展基础</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_Toc4992 \h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_Toc29281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（四）营造发展环境，保障生态安全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_Toc29281 \h </w:instrText>
      </w:r>
      <w:r>
        <w:rPr>
          <w:rFonts w:hint="default" w:ascii="Times New Roman" w:hAnsi="Times New Roman" w:cs="Times New Roman"/>
        </w:rPr>
        <w:fldChar w:fldCharType="separate"/>
      </w:r>
      <w:r>
        <w:rPr>
          <w:rFonts w:hint="default" w:ascii="Times New Roman" w:hAnsi="Times New Roman" w:cs="Times New Roman"/>
        </w:rPr>
        <w:t>46</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_Toc16639 </w:instrText>
      </w:r>
      <w:r>
        <w:rPr>
          <w:rFonts w:hint="default" w:ascii="Times New Roman" w:hAnsi="Times New Roman" w:eastAsia="仿宋_GB2312" w:cs="Times New Roman"/>
          <w:i w:val="0"/>
        </w:rPr>
        <w:fldChar w:fldCharType="separate"/>
      </w:r>
      <w:r>
        <w:rPr>
          <w:rFonts w:hint="default" w:ascii="Times New Roman" w:hAnsi="Times New Roman" w:eastAsia="楷体_GB2312" w:cs="Times New Roman"/>
          <w:szCs w:val="32"/>
        </w:rPr>
        <w:t>（五）坚持对外开发，确保要素不断流入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_Toc16639 \h </w:instrText>
      </w:r>
      <w:r>
        <w:rPr>
          <w:rFonts w:hint="default" w:ascii="Times New Roman" w:hAnsi="Times New Roman" w:cs="Times New Roman"/>
        </w:rPr>
        <w:fldChar w:fldCharType="separate"/>
      </w:r>
      <w:r>
        <w:rPr>
          <w:rFonts w:hint="default" w:ascii="Times New Roman" w:hAnsi="Times New Roman" w:cs="Times New Roman"/>
        </w:rPr>
        <w:t>47</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_Toc32401 </w:instrText>
      </w:r>
      <w:r>
        <w:rPr>
          <w:rFonts w:hint="default" w:ascii="Times New Roman" w:hAnsi="Times New Roman" w:eastAsia="仿宋_GB2312" w:cs="Times New Roman"/>
          <w:i w:val="0"/>
        </w:rPr>
        <w:fldChar w:fldCharType="separate"/>
      </w:r>
      <w:r>
        <w:rPr>
          <w:rFonts w:hint="default" w:ascii="Times New Roman" w:hAnsi="Times New Roman" w:eastAsia="宋体" w:cs="Times New Roman"/>
          <w:bCs/>
          <w:szCs w:val="32"/>
        </w:rPr>
        <w:t>附件：蛟河市特色农业产业主要分布图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_Toc32401 \h </w:instrText>
      </w:r>
      <w:r>
        <w:rPr>
          <w:rFonts w:hint="default" w:ascii="Times New Roman" w:hAnsi="Times New Roman" w:cs="Times New Roman"/>
        </w:rPr>
        <w:fldChar w:fldCharType="separate"/>
      </w:r>
      <w:r>
        <w:rPr>
          <w:rFonts w:hint="default" w:ascii="Times New Roman" w:hAnsi="Times New Roman" w:cs="Times New Roman"/>
        </w:rPr>
        <w:t>48</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pStyle w:val="18"/>
        <w:tabs>
          <w:tab w:val="right" w:leader="dot" w:pos="8306"/>
        </w:tabs>
        <w:rPr>
          <w:rFonts w:hint="default" w:ascii="Times New Roman" w:hAnsi="Times New Roman" w:cs="Times New Roman"/>
        </w:rPr>
      </w:pPr>
      <w:r>
        <w:rPr>
          <w:rFonts w:hint="default" w:ascii="Times New Roman" w:hAnsi="Times New Roman" w:eastAsia="仿宋_GB2312" w:cs="Times New Roman"/>
          <w:i w:val="0"/>
          <w:color w:val="000000" w:themeColor="text1"/>
          <w14:textFill>
            <w14:solidFill>
              <w14:schemeClr w14:val="tx1"/>
            </w14:solidFill>
          </w14:textFill>
        </w:rPr>
        <w:fldChar w:fldCharType="begin"/>
      </w:r>
      <w:r>
        <w:rPr>
          <w:rFonts w:hint="default" w:ascii="Times New Roman" w:hAnsi="Times New Roman" w:eastAsia="仿宋_GB2312" w:cs="Times New Roman"/>
          <w:i w:val="0"/>
        </w:rPr>
        <w:instrText xml:space="preserve"> HYPERLINK \l _Toc18437 </w:instrText>
      </w:r>
      <w:r>
        <w:rPr>
          <w:rFonts w:hint="default" w:ascii="Times New Roman" w:hAnsi="Times New Roman" w:eastAsia="仿宋_GB2312" w:cs="Times New Roman"/>
          <w:i w:val="0"/>
        </w:rPr>
        <w:fldChar w:fldCharType="separate"/>
      </w:r>
      <w:r>
        <w:rPr>
          <w:rFonts w:hint="default" w:ascii="Times New Roman" w:hAnsi="Times New Roman" w:eastAsia="宋体" w:cs="Times New Roman"/>
          <w:bCs/>
          <w:szCs w:val="44"/>
        </w:rPr>
        <w:t>附件：“十四五”重点工程支撑项目一览表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_Toc18437 \h </w:instrText>
      </w:r>
      <w:r>
        <w:rPr>
          <w:rFonts w:hint="default" w:ascii="Times New Roman" w:hAnsi="Times New Roman" w:cs="Times New Roman"/>
        </w:rPr>
        <w:fldChar w:fldCharType="separate"/>
      </w:r>
      <w:r>
        <w:rPr>
          <w:rFonts w:hint="default" w:ascii="Times New Roman" w:hAnsi="Times New Roman" w:cs="Times New Roman"/>
        </w:rPr>
        <w:t>49</w:t>
      </w:r>
      <w:r>
        <w:rPr>
          <w:rFonts w:hint="default" w:ascii="Times New Roman" w:hAnsi="Times New Roman" w:cs="Times New Roman"/>
        </w:rPr>
        <w:fldChar w:fldCharType="end"/>
      </w:r>
      <w:r>
        <w:rPr>
          <w:rFonts w:hint="default" w:ascii="Times New Roman" w:hAnsi="Times New Roman" w:eastAsia="仿宋_GB2312" w:cs="Times New Roman"/>
          <w:i w:val="0"/>
          <w:color w:val="000000" w:themeColor="text1"/>
          <w14:textFill>
            <w14:solidFill>
              <w14:schemeClr w14:val="tx1"/>
            </w14:solidFill>
          </w14:textFill>
        </w:rPr>
        <w:fldChar w:fldCharType="end"/>
      </w:r>
    </w:p>
    <w:p>
      <w:pPr>
        <w:ind w:firstLine="640"/>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i w:val="0"/>
          <w:color w:val="000000" w:themeColor="text1"/>
          <w14:textFill>
            <w14:solidFill>
              <w14:schemeClr w14:val="tx1"/>
            </w14:solidFill>
          </w14:textFill>
        </w:rPr>
        <w:fldChar w:fldCharType="end"/>
      </w:r>
    </w:p>
    <w:p>
      <w:pPr>
        <w:ind w:firstLine="0" w:firstLineChars="0"/>
        <w:jc w:val="center"/>
        <w:rPr>
          <w:rFonts w:hint="default" w:ascii="Times New Roman" w:hAnsi="Times New Roman" w:cs="Times New Roman" w:eastAsiaTheme="majorEastAsia"/>
          <w:b/>
          <w:bCs/>
          <w:color w:val="000000" w:themeColor="text1"/>
          <w:szCs w:val="24"/>
          <w14:textFill>
            <w14:solidFill>
              <w14:schemeClr w14:val="tx1"/>
            </w14:solidFill>
          </w14:textFill>
        </w:rPr>
        <w:sectPr>
          <w:footerReference r:id="rId5" w:type="default"/>
          <w:pgSz w:w="11906" w:h="16838"/>
          <w:pgMar w:top="1440" w:right="1800" w:bottom="1440" w:left="1800" w:header="851" w:footer="992" w:gutter="0"/>
          <w:pgNumType w:fmt="decimal" w:start="1"/>
          <w:cols w:space="425" w:num="1"/>
          <w:docGrid w:type="lines" w:linePitch="312" w:charSpace="0"/>
        </w:sectPr>
      </w:pPr>
      <w:bookmarkStart w:id="2" w:name="_Toc3665"/>
    </w:p>
    <w:p>
      <w:pPr>
        <w:pageBreakBefore w:val="0"/>
        <w:kinsoku/>
        <w:wordWrap/>
        <w:overflowPunct/>
        <w:topLinePunct w:val="0"/>
        <w:autoSpaceDE/>
        <w:autoSpaceDN/>
        <w:bidi w:val="0"/>
        <w:spacing w:line="560" w:lineRule="exact"/>
        <w:ind w:left="0" w:firstLine="0" w:firstLineChars="0"/>
        <w:jc w:val="center"/>
        <w:textAlignment w:val="auto"/>
        <w:rPr>
          <w:rFonts w:hint="default" w:ascii="Times New Roman" w:hAnsi="Times New Roman" w:eastAsia="方正小标宋简体" w:cs="Times New Roman"/>
          <w:b w:val="0"/>
          <w:bCs w:val="0"/>
          <w:color w:val="000000" w:themeColor="text1"/>
          <w:sz w:val="44"/>
          <w:szCs w:val="36"/>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36"/>
          <w14:textFill>
            <w14:solidFill>
              <w14:schemeClr w14:val="tx1"/>
            </w14:solidFill>
          </w14:textFill>
        </w:rPr>
        <w:t>蛟河市“十四五”</w:t>
      </w:r>
      <w:r>
        <w:rPr>
          <w:rFonts w:hint="default" w:ascii="Times New Roman" w:hAnsi="Times New Roman" w:eastAsia="方正小标宋简体" w:cs="Times New Roman"/>
          <w:b w:val="0"/>
          <w:bCs w:val="0"/>
          <w:color w:val="000000" w:themeColor="text1"/>
          <w:sz w:val="44"/>
          <w:szCs w:val="36"/>
          <w:lang w:val="en-US" w:eastAsia="zh-CN"/>
          <w14:textFill>
            <w14:solidFill>
              <w14:schemeClr w14:val="tx1"/>
            </w14:solidFill>
          </w14:textFill>
        </w:rPr>
        <w:t>推进农业农村现代化</w:t>
      </w:r>
      <w:r>
        <w:rPr>
          <w:rFonts w:hint="default" w:ascii="Times New Roman" w:hAnsi="Times New Roman" w:eastAsia="方正小标宋简体" w:cs="Times New Roman"/>
          <w:b w:val="0"/>
          <w:bCs w:val="0"/>
          <w:color w:val="000000" w:themeColor="text1"/>
          <w:sz w:val="44"/>
          <w:szCs w:val="36"/>
          <w14:textFill>
            <w14:solidFill>
              <w14:schemeClr w14:val="tx1"/>
            </w14:solidFill>
          </w14:textFill>
        </w:rPr>
        <w:t>规划</w:t>
      </w:r>
      <w:bookmarkEnd w:id="2"/>
    </w:p>
    <w:p>
      <w:pPr>
        <w:pageBreakBefore w:val="0"/>
        <w:kinsoku/>
        <w:wordWrap/>
        <w:overflowPunct/>
        <w:topLinePunct w:val="0"/>
        <w:autoSpaceDE/>
        <w:autoSpaceDN/>
        <w:bidi w:val="0"/>
        <w:spacing w:line="560" w:lineRule="exact"/>
        <w:ind w:left="0" w:firstLine="0" w:firstLineChars="0"/>
        <w:textAlignment w:val="auto"/>
        <w:rPr>
          <w:rFonts w:hint="default" w:ascii="Times New Roman" w:hAnsi="Times New Roman" w:cs="Times New Roman" w:eastAsiaTheme="majorEastAsia"/>
          <w:b/>
          <w:bCs/>
          <w:color w:val="000000" w:themeColor="text1"/>
          <w:szCs w:val="24"/>
          <w14:textFill>
            <w14:solidFill>
              <w14:schemeClr w14:val="tx1"/>
            </w14:solidFill>
          </w14:textFill>
        </w:rPr>
      </w:pPr>
    </w:p>
    <w:p>
      <w:pPr>
        <w:pStyle w:val="3"/>
        <w:keepNext/>
        <w:keepLines/>
        <w:pageBreakBefore w:val="0"/>
        <w:widowControl w:val="0"/>
        <w:kinsoku/>
        <w:wordWrap/>
        <w:overflowPunct/>
        <w:topLinePunct w:val="0"/>
        <w:autoSpaceDE/>
        <w:autoSpaceDN/>
        <w:bidi w:val="0"/>
        <w:adjustRightInd/>
        <w:snapToGrid/>
        <w:spacing w:before="0" w:beforeLines="0" w:after="0" w:afterLines="0" w:line="560" w:lineRule="exact"/>
        <w:ind w:left="0" w:firstLine="0"/>
        <w:textAlignment w:val="auto"/>
        <w:rPr>
          <w:rFonts w:hint="default" w:ascii="Times New Roman" w:hAnsi="Times New Roman" w:cs="Times New Roman"/>
          <w:color w:val="000000" w:themeColor="text1"/>
          <w14:textFill>
            <w14:solidFill>
              <w14:schemeClr w14:val="tx1"/>
            </w14:solidFill>
          </w14:textFill>
        </w:rPr>
      </w:pPr>
      <w:bookmarkStart w:id="3" w:name="_Toc1118"/>
      <w:bookmarkStart w:id="4" w:name="_Toc26793"/>
      <w:r>
        <w:rPr>
          <w:rFonts w:hint="default" w:ascii="Times New Roman" w:hAnsi="Times New Roman" w:cs="Times New Roman"/>
          <w:color w:val="000000" w:themeColor="text1"/>
          <w14:textFill>
            <w14:solidFill>
              <w14:schemeClr w14:val="tx1"/>
            </w14:solidFill>
          </w14:textFill>
        </w:rPr>
        <w:t>一、发展基础</w:t>
      </w:r>
      <w:bookmarkEnd w:id="3"/>
      <w:bookmarkEnd w:id="4"/>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十三五”时期，蛟河市始终坚持把解决“三农”问题作为全市工作的重中之重，坚持农业农村优先发展，不断深化农业供给侧结构性改革，聚力打赢精准扶贫精准脱贫攻坚战，加快补齐全面小康“三农”领域突出短板，启动实施乡村振兴战略，农业农村取得长足发展，乡村振兴迈出可喜步伐，为“十四五”农业农村现代化建设奠定了坚实基础。</w:t>
      </w:r>
    </w:p>
    <w:p>
      <w:pPr>
        <w:pStyle w:val="4"/>
        <w:keepNext/>
        <w:keepLines/>
        <w:pageBreakBefore w:val="0"/>
        <w:widowControl w:val="0"/>
        <w:kinsoku/>
        <w:wordWrap/>
        <w:overflowPunct/>
        <w:topLinePunct w:val="0"/>
        <w:autoSpaceDE/>
        <w:autoSpaceDN/>
        <w:bidi w:val="0"/>
        <w:adjustRightInd/>
        <w:snapToGrid/>
        <w:spacing w:before="0" w:beforeLines="0" w:after="0" w:afterLines="0" w:line="560" w:lineRule="exact"/>
        <w:ind w:left="0" w:firstLine="0"/>
        <w:textAlignment w:val="auto"/>
        <w:rPr>
          <w:rFonts w:hint="default" w:ascii="Times New Roman" w:hAnsi="Times New Roman" w:eastAsia="楷体_GB2312" w:cs="Times New Roman"/>
          <w:color w:val="000000" w:themeColor="text1"/>
          <w:lang w:val="en-US" w:eastAsia="zh-CN"/>
          <w14:textFill>
            <w14:solidFill>
              <w14:schemeClr w14:val="tx1"/>
            </w14:solidFill>
          </w14:textFill>
        </w:rPr>
      </w:pPr>
      <w:bookmarkStart w:id="5" w:name="_Toc9965"/>
      <w:bookmarkStart w:id="6" w:name="_Toc20939"/>
      <w:r>
        <w:rPr>
          <w:rFonts w:hint="default" w:ascii="Times New Roman" w:hAnsi="Times New Roman" w:eastAsia="楷体_GB2312" w:cs="Times New Roman"/>
          <w:color w:val="000000" w:themeColor="text1"/>
          <w14:textFill>
            <w14:solidFill>
              <w14:schemeClr w14:val="tx1"/>
            </w14:solidFill>
          </w14:textFill>
        </w:rPr>
        <w:t>（一）</w:t>
      </w:r>
      <w:bookmarkEnd w:id="5"/>
      <w:r>
        <w:rPr>
          <w:rFonts w:hint="default" w:ascii="Times New Roman" w:hAnsi="Times New Roman" w:eastAsia="楷体_GB2312" w:cs="Times New Roman"/>
          <w:color w:val="000000" w:themeColor="text1"/>
          <w:lang w:val="en-US" w:eastAsia="zh-CN"/>
          <w14:textFill>
            <w14:solidFill>
              <w14:schemeClr w14:val="tx1"/>
            </w14:solidFill>
          </w14:textFill>
        </w:rPr>
        <w:t>农业现代化建设成果显著</w:t>
      </w:r>
      <w:bookmarkEnd w:id="6"/>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lang w:val="en-US" w:eastAsia="zh-CN"/>
          <w14:textFill>
            <w14:solidFill>
              <w14:schemeClr w14:val="tx1"/>
            </w14:solidFill>
          </w14:textFill>
        </w:rPr>
      </w:pP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“十三五”时期，蛟河市紧紧围绕深化农业供给侧结构性改革这条主线，以构建现代农业“三大体系”为核心，着力在新技术新模式上寻求突破，积极推动高质量发展，农业现代化建设取得显著成效。</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lang w:val="en-US" w:eastAsia="zh-CN"/>
          <w14:textFill>
            <w14:solidFill>
              <w14:schemeClr w14:val="tx1"/>
            </w14:solidFill>
          </w14:textFill>
        </w:rPr>
      </w:pPr>
      <w:r>
        <w:rPr>
          <w:rFonts w:hint="default" w:ascii="Times New Roman" w:hAnsi="Times New Roman" w:eastAsia="仿宋_GB2312" w:cs="Times New Roman"/>
          <w:b/>
          <w:bCs/>
          <w:color w:val="000000" w:themeColor="text1"/>
          <w:szCs w:val="32"/>
          <w:lang w:val="en-US" w:eastAsia="zh-CN"/>
          <w14:textFill>
            <w14:solidFill>
              <w14:schemeClr w14:val="tx1"/>
            </w14:solidFill>
          </w14:textFill>
        </w:rPr>
        <w:t>农业综合生产能力</w:t>
      </w:r>
      <w:r>
        <w:rPr>
          <w:rFonts w:hint="default" w:ascii="Times New Roman" w:hAnsi="Times New Roman" w:eastAsia="仿宋_GB2312" w:cs="Times New Roman"/>
          <w:b/>
          <w:bCs/>
          <w:color w:val="000000" w:themeColor="text1"/>
          <w:szCs w:val="32"/>
          <w14:textFill>
            <w14:solidFill>
              <w14:schemeClr w14:val="tx1"/>
            </w14:solidFill>
          </w14:textFill>
        </w:rPr>
        <w:t>稳步提</w:t>
      </w:r>
      <w:r>
        <w:rPr>
          <w:rFonts w:hint="default" w:ascii="Times New Roman" w:hAnsi="Times New Roman" w:eastAsia="仿宋_GB2312" w:cs="Times New Roman"/>
          <w:b/>
          <w:bCs/>
          <w:color w:val="000000" w:themeColor="text1"/>
          <w:szCs w:val="32"/>
          <w:lang w:val="en-US" w:eastAsia="zh-CN"/>
          <w14:textFill>
            <w14:solidFill>
              <w14:schemeClr w14:val="tx1"/>
            </w14:solidFill>
          </w14:textFill>
        </w:rPr>
        <w:t>升</w:t>
      </w:r>
      <w:r>
        <w:rPr>
          <w:rFonts w:hint="default" w:ascii="Times New Roman" w:hAnsi="Times New Roman" w:eastAsia="仿宋_GB2312" w:cs="Times New Roman"/>
          <w:b/>
          <w:bCs/>
          <w:color w:val="000000" w:themeColor="text1"/>
          <w:szCs w:val="32"/>
          <w14:textFill>
            <w14:solidFill>
              <w14:schemeClr w14:val="tx1"/>
            </w14:solidFill>
          </w14:textFill>
        </w:rPr>
        <w:t>。</w:t>
      </w:r>
      <w:r>
        <w:rPr>
          <w:rFonts w:hint="default" w:ascii="Times New Roman" w:hAnsi="Times New Roman" w:eastAsia="仿宋_GB2312" w:cs="Times New Roman"/>
          <w:color w:val="000000" w:themeColor="text1"/>
          <w:szCs w:val="32"/>
          <w14:textFill>
            <w14:solidFill>
              <w14:schemeClr w14:val="tx1"/>
            </w14:solidFill>
          </w14:textFill>
        </w:rPr>
        <w:t>“十三五”期间，市委、市政府始终把扛稳维护国家粮食安全政治责任摆在重要位置，深入实施藏粮于地、藏粮于技，深入推进农业基础现代化、装备现代化、技术高新化、生产标准化、管理信息化、环境生态化，不断完善现代农业生产体系，夯实农业基础，不断提高粮食产能。</w:t>
      </w: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“十三五”末期，建设高标准农田10.4万亩，开展耕地轮作5万亩，调减籽粒玉米30万亩，粮食产量稳定在85万吨。</w:t>
      </w:r>
    </w:p>
    <w:p>
      <w:pPr>
        <w:pageBreakBefore w:val="0"/>
        <w:kinsoku/>
        <w:wordWrap/>
        <w:overflowPunct/>
        <w:topLinePunct w:val="0"/>
        <w:autoSpaceDE/>
        <w:autoSpaceDN/>
        <w:bidi w:val="0"/>
        <w:spacing w:line="560" w:lineRule="exact"/>
        <w:ind w:left="0"/>
        <w:textAlignment w:val="auto"/>
        <w:rPr>
          <w:rFonts w:hint="default" w:ascii="Times New Roman" w:hAnsi="Times New Roman" w:cs="Times New Roman"/>
          <w:lang w:val="en-US" w:eastAsia="zh-CN"/>
        </w:rPr>
      </w:pPr>
      <w:r>
        <w:rPr>
          <w:rFonts w:hint="default" w:ascii="Times New Roman" w:hAnsi="Times New Roman" w:eastAsia="仿宋_GB2312" w:cs="Times New Roman"/>
          <w:b/>
          <w:bCs/>
          <w:color w:val="000000" w:themeColor="text1"/>
          <w:szCs w:val="32"/>
          <w14:textFill>
            <w14:solidFill>
              <w14:schemeClr w14:val="tx1"/>
            </w14:solidFill>
          </w14:textFill>
        </w:rPr>
        <w:t>现代畜牧业由量向质转变。</w:t>
      </w:r>
      <w:r>
        <w:rPr>
          <w:rFonts w:hint="default" w:ascii="Times New Roman" w:hAnsi="Times New Roman" w:eastAsia="仿宋_GB2312" w:cs="Times New Roman"/>
          <w:color w:val="000000" w:themeColor="text1"/>
          <w:szCs w:val="32"/>
          <w:lang w:val="en-US" w:eastAsia="zh-CN"/>
          <w14:textFill>
            <w14:solidFill>
              <w14:schemeClr w14:val="tx1"/>
            </w14:solidFill>
          </w14:textFill>
        </w:rPr>
        <w:t>生猪、黄牛、梅花鹿和家禽饲养量分别发展到30万头、16万头、1.1万只和400万只。依托林地资源，鼓励开展林牧结合的生态养殖模式，重点打造长白山黑牛、山黑猪、放养鸡、梅花鹿等养殖业，其中培育的高档肉牛－长白山黑牛，已成为吉林省肉牛产业的一张名片。“十三五”时期，全市农业供给侧结构性改革深入推进，农业质量和综合效益明显提升，更好的满足了城乡居民的消费需求。</w:t>
      </w:r>
    </w:p>
    <w:p>
      <w:pPr>
        <w:pStyle w:val="2"/>
        <w:pageBreakBefore w:val="0"/>
        <w:kinsoku/>
        <w:wordWrap/>
        <w:overflowPunct/>
        <w:topLinePunct w:val="0"/>
        <w:autoSpaceDE/>
        <w:autoSpaceDN/>
        <w:bidi w:val="0"/>
        <w:spacing w:line="560" w:lineRule="exact"/>
        <w:ind w:left="0"/>
        <w:textAlignment w:val="auto"/>
        <w:rPr>
          <w:rFonts w:hint="default" w:ascii="Times New Roman" w:hAnsi="Times New Roman" w:cs="Times New Roman"/>
          <w:lang w:val="en-US" w:eastAsia="zh-CN"/>
        </w:rPr>
      </w:pPr>
      <w:r>
        <w:rPr>
          <w:rFonts w:hint="default" w:ascii="Times New Roman" w:hAnsi="Times New Roman" w:cs="Times New Roman"/>
          <w:b/>
          <w:bCs/>
          <w:color w:val="000000" w:themeColor="text1"/>
          <w:szCs w:val="32"/>
          <w:lang w:val="en-US" w:eastAsia="zh-CN"/>
          <w14:textFill>
            <w14:solidFill>
              <w14:schemeClr w14:val="tx1"/>
            </w14:solidFill>
          </w14:textFill>
        </w:rPr>
        <w:t>农业机械化水平显著提高。</w:t>
      </w:r>
      <w:r>
        <w:rPr>
          <w:rFonts w:hint="default" w:ascii="Times New Roman" w:hAnsi="Times New Roman" w:cs="Times New Roman"/>
          <w:color w:val="000000" w:themeColor="text1"/>
          <w:szCs w:val="32"/>
          <w:lang w:val="en-US" w:eastAsia="zh-CN"/>
          <w14:textFill>
            <w14:solidFill>
              <w14:schemeClr w14:val="tx1"/>
            </w14:solidFill>
          </w14:textFill>
        </w:rPr>
        <w:t>“十三五”末期，全市农业机械总动力达到70.3万千瓦，大中型农用拖拉机保有量7302台，农用小型拖拉机22986</w:t>
      </w:r>
      <w:r>
        <w:rPr>
          <w:rFonts w:hint="default" w:ascii="Times New Roman" w:hAnsi="Times New Roman" w:cs="Times New Roman"/>
          <w:color w:val="000000" w:themeColor="text1"/>
          <w:szCs w:val="32"/>
          <w:lang w:val="en-US" w:eastAsia="zh-CN"/>
          <w14:textFill>
            <w14:solidFill>
              <w14:schemeClr w14:val="tx1"/>
            </w14:solidFill>
          </w14:textFill>
        </w:rPr>
        <w:tab/>
      </w:r>
      <w:r>
        <w:rPr>
          <w:rFonts w:hint="default" w:ascii="Times New Roman" w:hAnsi="Times New Roman" w:cs="Times New Roman"/>
          <w:color w:val="000000" w:themeColor="text1"/>
          <w:szCs w:val="32"/>
          <w:lang w:val="en-US" w:eastAsia="zh-CN"/>
          <w14:textFill>
            <w14:solidFill>
              <w14:schemeClr w14:val="tx1"/>
            </w14:solidFill>
          </w14:textFill>
        </w:rPr>
        <w:t>台，农用排灌动力机械12071台，粮食加工机械2703台，机耕面积107500公顷，机播面积104500公顷，较“十二五”末期，农业机械化率显著提升。</w:t>
      </w:r>
    </w:p>
    <w:p>
      <w:pPr>
        <w:pageBreakBefore w:val="0"/>
        <w:kinsoku/>
        <w:wordWrap/>
        <w:overflowPunct/>
        <w:topLinePunct w:val="0"/>
        <w:autoSpaceDE/>
        <w:autoSpaceDN/>
        <w:bidi w:val="0"/>
        <w:spacing w:line="560" w:lineRule="exact"/>
        <w:ind w:left="0"/>
        <w:textAlignment w:val="auto"/>
        <w:rPr>
          <w:rFonts w:hint="default" w:ascii="Times New Roman" w:hAnsi="Times New Roman" w:eastAsia="仿宋_GB2312" w:cs="Times New Roman"/>
          <w:color w:val="000000" w:themeColor="text1"/>
          <w:szCs w:val="32"/>
          <w:lang w:val="en-US" w:eastAsia="zh-CN"/>
          <w14:textFill>
            <w14:solidFill>
              <w14:schemeClr w14:val="tx1"/>
            </w14:solidFill>
          </w14:textFill>
        </w:rPr>
      </w:pPr>
      <w:bookmarkStart w:id="7" w:name="_Toc32282"/>
      <w:bookmarkStart w:id="8" w:name="_Toc20369"/>
      <w:r>
        <w:rPr>
          <w:rFonts w:hint="default" w:ascii="Times New Roman" w:hAnsi="Times New Roman" w:eastAsia="仿宋_GB2312" w:cs="Times New Roman"/>
          <w:b/>
          <w:bCs/>
          <w:color w:val="000000" w:themeColor="text1"/>
          <w:szCs w:val="32"/>
          <w:lang w:val="en-US" w:eastAsia="zh-CN"/>
          <w14:textFill>
            <w14:solidFill>
              <w14:schemeClr w14:val="tx1"/>
            </w14:solidFill>
          </w14:textFill>
        </w:rPr>
        <w:t>特色农业实现多业并举。</w:t>
      </w: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期间，蛟河市围绕推动一产接二连三，推动三产融合发展，国家级黑木耳、省级烟叶特优区成功创建，木耳现代农业产业园被省农业农村厅和省财政厅确定为第二批省级现代农业产业园，前进蓝莓地理标志证明商标顺利获批，天岗软枣猕猴桃、牤牛河大榛子等新兴产业园区建设取得成效，“十三五”末期，黑木耳、甜粘玉米、晒烟分别发展到10亿袋、8500公顷、1500公顷。</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kern w:val="2"/>
          <w:sz w:val="32"/>
          <w:szCs w:val="24"/>
          <w:lang w:val="en-US" w:eastAsia="zh-CN" w:bidi="ar-SA"/>
        </w:rPr>
      </w:pPr>
      <w:r>
        <w:rPr>
          <w:rFonts w:hint="default" w:ascii="Times New Roman" w:hAnsi="Times New Roman" w:eastAsia="仿宋_GB2312" w:cs="Times New Roman"/>
          <w:b/>
          <w:bCs/>
          <w:kern w:val="2"/>
          <w:sz w:val="32"/>
          <w:szCs w:val="24"/>
          <w:lang w:val="en-US" w:eastAsia="zh-CN" w:bidi="ar-SA"/>
        </w:rPr>
        <w:t>农业经营体系不断完善。</w:t>
      </w:r>
      <w:r>
        <w:rPr>
          <w:rFonts w:hint="default" w:ascii="Times New Roman" w:hAnsi="Times New Roman" w:eastAsia="仿宋_GB2312" w:cs="Times New Roman"/>
          <w:kern w:val="2"/>
          <w:sz w:val="32"/>
          <w:szCs w:val="24"/>
          <w:lang w:val="en-US" w:eastAsia="zh-CN" w:bidi="ar-SA"/>
        </w:rPr>
        <w:t>“十三五”期间，蛟河市积极争取新型农业经营主体项目资金，逐步构建以家庭承包为基础，专业大户、家庭农场、农民合作社、农业龙头企业为骨干的新型农业经营体系。全力推进土地规模经营和农业社会化服务体系建设，农业生产关系逐步完善，有力促进了农业增产、农民增收、农村增效。“十三五”末期，累计注册农民专业合作社921个，家庭农场729个。建立了市、乡、村三级农村土地流转服务中心，指导土地流转工作，规范土地流转行为。农村土地流转面积23885公顷，比“十二五”末期，增加5800余公顷，农村土地流转率提高了8.4个百分点。</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cs="Times New Roman"/>
          <w:lang w:val="en-US" w:eastAsia="zh-CN"/>
        </w:rPr>
      </w:pPr>
      <w:r>
        <w:rPr>
          <w:rFonts w:hint="default" w:ascii="Times New Roman" w:hAnsi="Times New Roman" w:eastAsia="仿宋_GB2312" w:cs="Times New Roman"/>
          <w:b/>
          <w:bCs/>
          <w:color w:val="000000" w:themeColor="text1"/>
          <w:szCs w:val="32"/>
          <w:lang w:val="en-US" w:eastAsia="zh-CN"/>
          <w14:textFill>
            <w14:solidFill>
              <w14:schemeClr w14:val="tx1"/>
            </w14:solidFill>
          </w14:textFill>
        </w:rPr>
        <w:t>休闲农业和乡村旅游业蓬勃发展</w:t>
      </w:r>
      <w:r>
        <w:rPr>
          <w:rFonts w:hint="default" w:ascii="Times New Roman" w:hAnsi="Times New Roman" w:eastAsia="仿宋_GB2312" w:cs="Times New Roman"/>
          <w:b/>
          <w:bCs/>
          <w:color w:val="000000" w:themeColor="text1"/>
          <w:szCs w:val="32"/>
          <w14:textFill>
            <w14:solidFill>
              <w14:schemeClr w14:val="tx1"/>
            </w14:solidFill>
          </w14:textFill>
        </w:rPr>
        <w:t>。</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期间，蛟河市</w:t>
      </w:r>
      <w:r>
        <w:rPr>
          <w:rFonts w:hint="default" w:ascii="Times New Roman" w:hAnsi="Times New Roman" w:eastAsia="仿宋_GB2312" w:cs="Times New Roman"/>
          <w:color w:val="000000" w:themeColor="text1"/>
          <w:szCs w:val="32"/>
          <w14:textFill>
            <w14:solidFill>
              <w14:schemeClr w14:val="tx1"/>
            </w14:solidFill>
          </w14:textFill>
        </w:rPr>
        <w:t>立足资源禀赋和特色优势，</w:t>
      </w:r>
      <w:r>
        <w:rPr>
          <w:rFonts w:hint="default" w:ascii="Times New Roman" w:hAnsi="Times New Roman" w:eastAsia="仿宋_GB2312" w:cs="Times New Roman"/>
          <w:color w:val="000000" w:themeColor="text1"/>
          <w:szCs w:val="32"/>
          <w:lang w:val="en-US" w:eastAsia="zh-CN"/>
          <w14:textFill>
            <w14:solidFill>
              <w14:schemeClr w14:val="tx1"/>
            </w14:solidFill>
          </w14:textFill>
        </w:rPr>
        <w:t>加大休闲农业和乡村旅游业发展力度。</w:t>
      </w:r>
      <w:r>
        <w:rPr>
          <w:rFonts w:hint="default" w:ascii="Times New Roman" w:hAnsi="Times New Roman" w:eastAsia="仿宋_GB2312" w:cs="Times New Roman"/>
          <w:color w:val="000000" w:themeColor="text1"/>
          <w:szCs w:val="32"/>
          <w14:textFill>
            <w14:solidFill>
              <w14:schemeClr w14:val="tx1"/>
            </w14:solidFill>
          </w14:textFill>
        </w:rPr>
        <w:t>围绕拉法山、白石山、红叶岭三个国家级森林公园，抓住小长假、黄金周等重要节点，系统开发旅游线路，打造精品景</w:t>
      </w:r>
      <w:r>
        <w:rPr>
          <w:rFonts w:hint="default" w:ascii="Times New Roman" w:hAnsi="Times New Roman" w:eastAsia="仿宋_GB2312" w:cs="Times New Roman"/>
          <w:color w:val="000000" w:themeColor="text1"/>
          <w:szCs w:val="32"/>
          <w:highlight w:val="none"/>
          <w14:textFill>
            <w14:solidFill>
              <w14:schemeClr w14:val="tx1"/>
            </w14:solidFill>
          </w14:textFill>
        </w:rPr>
        <w:t>点，强化游客参与性与体验性，高质量打造红叶谷、富</w:t>
      </w:r>
      <w:r>
        <w:rPr>
          <w:rFonts w:hint="default" w:ascii="Times New Roman" w:hAnsi="Times New Roman" w:eastAsia="仿宋_GB2312" w:cs="Times New Roman"/>
          <w:color w:val="000000" w:themeColor="text1"/>
          <w:szCs w:val="32"/>
          <w14:textFill>
            <w14:solidFill>
              <w14:schemeClr w14:val="tx1"/>
            </w14:solidFill>
          </w14:textFill>
        </w:rPr>
        <w:t>江花海等网红打卡地。依托丰富的资源和文化优势，讲好蛟河故事，塑造独特魅力。深入挖掘巴拉文化、前进古城等历史遗迹，全面拓展拉新战役、国共谈判旧址等红色印迹，深度开发庆岭活鱼、浪木根雕等旅游产品，发挥特色优势，实现错位发展。通过联户经营、集团运营等模式，开展了农家乐、民宿等特色品牌创建，打造了周末游、自驾游等休闲旅游目的地。抓住了冰雪产业发展机遇，建设了滑雪场、冰雪乐园等项目，融入了全省避暑冰雪生态旅游大环线，与全省旅游实现协调发展。</w:t>
      </w:r>
    </w:p>
    <w:bookmarkEnd w:id="7"/>
    <w:bookmarkEnd w:id="8"/>
    <w:p>
      <w:pPr>
        <w:pStyle w:val="4"/>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eastAsia="楷体_GB2312" w:cs="Times New Roman"/>
          <w:color w:val="000000" w:themeColor="text1"/>
          <w:lang w:val="en-US" w:eastAsia="zh-CN"/>
          <w14:textFill>
            <w14:solidFill>
              <w14:schemeClr w14:val="tx1"/>
            </w14:solidFill>
          </w14:textFill>
        </w:rPr>
      </w:pPr>
      <w:bookmarkStart w:id="9" w:name="_Toc21702"/>
      <w:bookmarkStart w:id="10" w:name="_Toc12083"/>
      <w:bookmarkStart w:id="11" w:name="_Toc2401"/>
      <w:r>
        <w:rPr>
          <w:rFonts w:hint="default" w:ascii="Times New Roman" w:hAnsi="Times New Roman" w:eastAsia="楷体_GB2312" w:cs="Times New Roman"/>
          <w:color w:val="000000" w:themeColor="text1"/>
          <w:lang w:val="en-US" w:eastAsia="zh-CN"/>
          <w14:textFill>
            <w14:solidFill>
              <w14:schemeClr w14:val="tx1"/>
            </w14:solidFill>
          </w14:textFill>
        </w:rPr>
        <w:t>（二）农村现代化建设进展明显</w:t>
      </w:r>
      <w:bookmarkEnd w:id="9"/>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lang w:val="en-US" w:eastAsia="zh-CN"/>
          <w14:textFill>
            <w14:solidFill>
              <w14:schemeClr w14:val="tx1"/>
            </w14:solidFill>
          </w14:textFill>
        </w:rPr>
      </w:pP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“十三五”期间，蛟河市对标全面建成小康“三农”领域任务指标，加快补齐农村基础设施和基本公共服务短板，强力推进农村人居环境集中整治，农村现代化建设取得明显进展，农民获得感、幸福感明显提高。</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lang w:val="en-US" w:eastAsia="zh-CN"/>
          <w14:textFill>
            <w14:solidFill>
              <w14:schemeClr w14:val="tx1"/>
            </w14:solidFill>
          </w14:textFill>
        </w:rPr>
      </w:pPr>
      <w:r>
        <w:rPr>
          <w:rFonts w:hint="default" w:ascii="Times New Roman" w:hAnsi="Times New Roman" w:eastAsia="仿宋_GB2312" w:cs="Times New Roman"/>
          <w:b/>
          <w:bCs/>
          <w:color w:val="000000" w:themeColor="text1"/>
          <w:szCs w:val="32"/>
          <w:lang w:val="en-US" w:eastAsia="zh-CN"/>
          <w14:textFill>
            <w14:solidFill>
              <w14:schemeClr w14:val="tx1"/>
            </w14:solidFill>
          </w14:textFill>
        </w:rPr>
        <w:t>农村人居环境整治取得明显成效。</w:t>
      </w:r>
      <w:r>
        <w:rPr>
          <w:rFonts w:hint="default" w:ascii="Times New Roman" w:hAnsi="Times New Roman" w:eastAsia="仿宋_GB2312" w:cs="Times New Roman"/>
          <w:color w:val="000000" w:themeColor="text1"/>
          <w:szCs w:val="32"/>
          <w:lang w:val="en-US" w:eastAsia="zh-CN"/>
          <w14:textFill>
            <w14:solidFill>
              <w14:schemeClr w14:val="tx1"/>
            </w14:solidFill>
          </w14:textFill>
        </w:rPr>
        <w:t>蛟河市以农村“六清”环境整治为主要抓手，推动人居环境整治，实现了面上干净、线上美丽、点上精彩。环境整治全面推进。生活垃圾处置，“十三五”时期，累计清理垃圾6.46万吨、清理柴草11432堆、清理粪4.2万立方米、清理院落2.8万处、清理沟渠4107公里、清理死角14235个。“十三五”末期，蛟河市累计厕所改造户数18050户。</w:t>
      </w:r>
    </w:p>
    <w:p>
      <w:pPr>
        <w:pStyle w:val="2"/>
        <w:pageBreakBefore w:val="0"/>
        <w:kinsoku/>
        <w:wordWrap/>
        <w:overflowPunct/>
        <w:topLinePunct w:val="0"/>
        <w:autoSpaceDE/>
        <w:autoSpaceDN/>
        <w:bidi w:val="0"/>
        <w:spacing w:line="560" w:lineRule="exact"/>
        <w:ind w:left="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cs="Times New Roman"/>
          <w:b/>
          <w:bCs/>
          <w:color w:val="000000" w:themeColor="text1"/>
          <w:szCs w:val="32"/>
          <w:lang w:val="en-US" w:eastAsia="zh-CN"/>
          <w14:textFill>
            <w14:solidFill>
              <w14:schemeClr w14:val="tx1"/>
            </w14:solidFill>
          </w14:textFill>
        </w:rPr>
        <w:t>农村公共服务水平持续改善</w:t>
      </w:r>
      <w:r>
        <w:rPr>
          <w:rFonts w:hint="default" w:ascii="Times New Roman" w:hAnsi="Times New Roman" w:cs="Times New Roman"/>
          <w:color w:val="000000" w:themeColor="text1"/>
          <w:szCs w:val="32"/>
          <w:lang w:val="en-US" w:eastAsia="zh-CN"/>
          <w14:textFill>
            <w14:solidFill>
              <w14:schemeClr w14:val="tx1"/>
            </w14:solidFill>
          </w14:textFill>
        </w:rPr>
        <w:t>。</w:t>
      </w:r>
      <w:bookmarkEnd w:id="10"/>
      <w:bookmarkEnd w:id="11"/>
      <w:r>
        <w:rPr>
          <w:rFonts w:hint="default" w:ascii="Times New Roman" w:hAnsi="Times New Roman" w:cs="Times New Roman"/>
          <w:color w:val="000000" w:themeColor="text1"/>
          <w:szCs w:val="32"/>
          <w:lang w:val="en-US" w:eastAsia="zh-CN"/>
          <w14:textFill>
            <w14:solidFill>
              <w14:schemeClr w14:val="tx1"/>
            </w14:solidFill>
          </w14:textFill>
        </w:rPr>
        <w:t>“十三五”末期，</w:t>
      </w:r>
      <w:r>
        <w:rPr>
          <w:rFonts w:hint="default" w:ascii="Times New Roman" w:hAnsi="Times New Roman" w:eastAsia="仿宋_GB2312" w:cs="Times New Roman"/>
          <w:color w:val="000000" w:themeColor="text1"/>
          <w:szCs w:val="32"/>
          <w14:textFill>
            <w14:solidFill>
              <w14:schemeClr w14:val="tx1"/>
            </w14:solidFill>
          </w14:textFill>
        </w:rPr>
        <w:t>农村社会保障体系不断完善，新型农村合作医疗覆盖率100%，参合率达到99.98%；农村基本养老保险参保率达到92.92%。新建建筑面积不少于60平方米的标准化村卫生室219所，覆盖率达到85.55%，每个卫生所至少配备1名合格乡村医生。75个扶贫产业项目精准实施，3788户7377人实现脱贫，25个贫困村全部摘帽。城乡教育协调发展，农村小学学龄儿童入学率和小学毕业生升学率均达到100%。通过落实职称评聘向乡村学校倾斜等政策，通过事业单位公开招聘工作人员、硕士计划等教师招聘途径，吸引高学历人才到乡村任教，逐步优化乡村教师队伍学历结构。截至“十三五”末期，蛟河市乡村小学专任教师556人，其中本科以上学历的教师249人，本科以上学历比例44.78%；蛟河市乡村初中专任教师134人，其中本科以上学历的教师121人，本科以上学历比例90.3%。农村义务教育学校专任教师本科以上学历平均比例达67.54%。文化建设明显提升，全市所有行政村农家书屋、农村文化小广场、基层综合文化中心实现100%覆盖。基础设施不断改善，新改建乡村道路650.6公里。</w:t>
      </w:r>
    </w:p>
    <w:p>
      <w:pPr>
        <w:pStyle w:val="4"/>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eastAsia="楷体_GB2312" w:cs="Times New Roman"/>
          <w:color w:val="000000" w:themeColor="text1"/>
          <w14:textFill>
            <w14:solidFill>
              <w14:schemeClr w14:val="tx1"/>
            </w14:solidFill>
          </w14:textFill>
        </w:rPr>
      </w:pPr>
      <w:bookmarkStart w:id="12" w:name="_Toc289"/>
      <w:bookmarkStart w:id="13" w:name="_Toc7361"/>
      <w:bookmarkStart w:id="14" w:name="_Toc30807"/>
      <w:r>
        <w:rPr>
          <w:rFonts w:hint="default" w:ascii="Times New Roman" w:hAnsi="Times New Roman" w:eastAsia="楷体_GB2312" w:cs="Times New Roman"/>
          <w:color w:val="000000" w:themeColor="text1"/>
          <w14:textFill>
            <w14:solidFill>
              <w14:schemeClr w14:val="tx1"/>
            </w14:solidFill>
          </w14:textFill>
        </w:rPr>
        <w:t>（</w:t>
      </w:r>
      <w:r>
        <w:rPr>
          <w:rFonts w:hint="default" w:ascii="Times New Roman" w:hAnsi="Times New Roman" w:eastAsia="楷体_GB2312" w:cs="Times New Roman"/>
          <w:color w:val="000000" w:themeColor="text1"/>
          <w:lang w:val="en-US" w:eastAsia="zh-CN"/>
          <w14:textFill>
            <w14:solidFill>
              <w14:schemeClr w14:val="tx1"/>
            </w14:solidFill>
          </w14:textFill>
        </w:rPr>
        <w:t>三</w:t>
      </w:r>
      <w:r>
        <w:rPr>
          <w:rFonts w:hint="default" w:ascii="Times New Roman" w:hAnsi="Times New Roman" w:eastAsia="楷体_GB2312" w:cs="Times New Roman"/>
          <w:color w:val="000000" w:themeColor="text1"/>
          <w14:textFill>
            <w14:solidFill>
              <w14:schemeClr w14:val="tx1"/>
            </w14:solidFill>
          </w14:textFill>
        </w:rPr>
        <w:t>）乡村治理能力不断提升</w:t>
      </w:r>
      <w:bookmarkEnd w:id="12"/>
      <w:bookmarkEnd w:id="13"/>
      <w:bookmarkEnd w:id="14"/>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期间，</w:t>
      </w:r>
      <w:r>
        <w:rPr>
          <w:rFonts w:hint="default" w:ascii="Times New Roman" w:hAnsi="Times New Roman" w:eastAsia="仿宋_GB2312" w:cs="Times New Roman"/>
          <w:color w:val="000000" w:themeColor="text1"/>
          <w:szCs w:val="32"/>
          <w14:textFill>
            <w14:solidFill>
              <w14:schemeClr w14:val="tx1"/>
            </w14:solidFill>
          </w14:textFill>
        </w:rPr>
        <w:t>蛟河市积极探索、创新具有蛟河特色的“法治、德治、自治”三治融合基层社会治理模式，努力打造“吉林版枫桥经验”。蛟河市结合农村实际情况，摸索出“六六议事堂”工作法，搭建以基层党组织为引领、多部门联动、公共法律服务共同参与的闻民声、解民忧、议村务、促发展的新平台。具体做法：找准定位，使“等着看”变“现场办”。蛟河市在村委会设立“六六议事堂”，每月的6日、16日、26日上午定为“百姓议事接待日”，当天由村书记主持，熟知政策法规的村两委会成员、联村干部、民政助理、法律服务人员及乡绅乡贤等参与，就地集中解决村民的闹心事、烦心事、堵心事。争得支持，由“独角戏”转“众人唱”。为激发“六六议事堂”的活力，蛟河市以文件形式印发了《关于在部分乡镇街、村开展践行“枫桥经验”、建设平安乡村“666基层治理模式”试点工作的实施方案》，为推进“六六议事堂”制度落实提供了重要遵循。规范运作，通过采取“干部事前问事”、“村民实情说事”、“集中协商议事”、“及时跟踪办事”、“定期参事评事”、“回访督促查事”等六步工作法促进乡村治理。经过试运行，“六六议事堂”得到了试点村群众的广泛认可，有事定期议已经成为干部群众的行动自觉。下一步“六六议事堂”制度将在全市推开，努力将它建设成为密切党群干群关系的“连心桥”、调处矛盾纠纷的“中医院”、基层民主法治的“阳光房”。</w:t>
      </w:r>
    </w:p>
    <w:p>
      <w:pPr>
        <w:pStyle w:val="4"/>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eastAsia="楷体_GB2312" w:cs="Times New Roman"/>
          <w:color w:val="000000" w:themeColor="text1"/>
          <w:lang w:val="en-US" w:eastAsia="zh-CN"/>
          <w14:textFill>
            <w14:solidFill>
              <w14:schemeClr w14:val="tx1"/>
            </w14:solidFill>
          </w14:textFill>
        </w:rPr>
      </w:pPr>
      <w:bookmarkStart w:id="15" w:name="_Toc28169"/>
      <w:bookmarkStart w:id="16" w:name="_Toc19165"/>
      <w:bookmarkStart w:id="17" w:name="_Toc31798"/>
      <w:r>
        <w:rPr>
          <w:rFonts w:hint="default" w:ascii="Times New Roman" w:hAnsi="Times New Roman" w:eastAsia="楷体_GB2312" w:cs="Times New Roman"/>
          <w:color w:val="000000" w:themeColor="text1"/>
          <w14:textFill>
            <w14:solidFill>
              <w14:schemeClr w14:val="tx1"/>
            </w14:solidFill>
          </w14:textFill>
        </w:rPr>
        <w:t>（</w:t>
      </w:r>
      <w:r>
        <w:rPr>
          <w:rFonts w:hint="default" w:ascii="Times New Roman" w:hAnsi="Times New Roman" w:eastAsia="楷体_GB2312" w:cs="Times New Roman"/>
          <w:color w:val="000000" w:themeColor="text1"/>
          <w:lang w:val="en-US" w:eastAsia="zh-CN"/>
          <w14:textFill>
            <w14:solidFill>
              <w14:schemeClr w14:val="tx1"/>
            </w14:solidFill>
          </w14:textFill>
        </w:rPr>
        <w:t>四</w:t>
      </w:r>
      <w:r>
        <w:rPr>
          <w:rFonts w:hint="default" w:ascii="Times New Roman" w:hAnsi="Times New Roman" w:eastAsia="楷体_GB2312" w:cs="Times New Roman"/>
          <w:color w:val="000000" w:themeColor="text1"/>
          <w14:textFill>
            <w14:solidFill>
              <w14:schemeClr w14:val="tx1"/>
            </w14:solidFill>
          </w14:textFill>
        </w:rPr>
        <w:t>）农村综合改革</w:t>
      </w:r>
      <w:bookmarkEnd w:id="15"/>
      <w:bookmarkEnd w:id="16"/>
      <w:bookmarkEnd w:id="17"/>
      <w:r>
        <w:rPr>
          <w:rFonts w:hint="default" w:ascii="Times New Roman" w:hAnsi="Times New Roman" w:eastAsia="楷体_GB2312" w:cs="Times New Roman"/>
          <w:color w:val="000000" w:themeColor="text1"/>
          <w:lang w:val="en-US" w:eastAsia="zh-CN"/>
          <w14:textFill>
            <w14:solidFill>
              <w14:schemeClr w14:val="tx1"/>
            </w14:solidFill>
          </w14:textFill>
        </w:rPr>
        <w:t>持续深化</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十三五”期间，农村改革进入攻坚阶段，按照中央和省里的统一部署，全市精准发力、强力突破，改革创新取得阶段性重大成果。按照国家和省里部署，积极开展农村承包地确权登记颁证工作，确定了对土地承包经营权的物权保护，把农民对承包地的占有、使用、流转、收益等权利切实固化到农户，为农民行使和维护承包地各项权利提供了有力保证，让农民吃上“定心丸”，巩固和完善了农村基本经营制度。农村集体产权制度改革已完成。</w:t>
      </w:r>
    </w:p>
    <w:p>
      <w:pPr>
        <w:pStyle w:val="4"/>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eastAsia="楷体_GB2312" w:cs="Times New Roman"/>
          <w:color w:val="000000" w:themeColor="text1"/>
          <w14:textFill>
            <w14:solidFill>
              <w14:schemeClr w14:val="tx1"/>
            </w14:solidFill>
          </w14:textFill>
        </w:rPr>
      </w:pPr>
      <w:bookmarkStart w:id="18" w:name="_Toc25216"/>
      <w:bookmarkStart w:id="19" w:name="_Toc30002"/>
      <w:bookmarkStart w:id="20" w:name="_Toc18264"/>
      <w:r>
        <w:rPr>
          <w:rFonts w:hint="default" w:ascii="Times New Roman" w:hAnsi="Times New Roman" w:eastAsia="楷体_GB2312" w:cs="Times New Roman"/>
          <w:color w:val="000000" w:themeColor="text1"/>
          <w14:textFill>
            <w14:solidFill>
              <w14:schemeClr w14:val="tx1"/>
            </w14:solidFill>
          </w14:textFill>
        </w:rPr>
        <w:t>（</w:t>
      </w:r>
      <w:r>
        <w:rPr>
          <w:rFonts w:hint="default" w:ascii="Times New Roman" w:hAnsi="Times New Roman" w:eastAsia="楷体_GB2312" w:cs="Times New Roman"/>
          <w:color w:val="000000" w:themeColor="text1"/>
          <w:lang w:val="en-US" w:eastAsia="zh-CN"/>
          <w14:textFill>
            <w14:solidFill>
              <w14:schemeClr w14:val="tx1"/>
            </w14:solidFill>
          </w14:textFill>
        </w:rPr>
        <w:t>五</w:t>
      </w:r>
      <w:r>
        <w:rPr>
          <w:rFonts w:hint="default" w:ascii="Times New Roman" w:hAnsi="Times New Roman" w:eastAsia="楷体_GB2312" w:cs="Times New Roman"/>
          <w:color w:val="000000" w:themeColor="text1"/>
          <w14:textFill>
            <w14:solidFill>
              <w14:schemeClr w14:val="tx1"/>
            </w14:solidFill>
          </w14:textFill>
        </w:rPr>
        <w:t>）</w:t>
      </w:r>
      <w:bookmarkEnd w:id="18"/>
      <w:bookmarkEnd w:id="19"/>
      <w:bookmarkEnd w:id="20"/>
      <w:r>
        <w:rPr>
          <w:rFonts w:hint="default" w:ascii="Times New Roman" w:hAnsi="Times New Roman" w:eastAsia="楷体_GB2312" w:cs="Times New Roman"/>
          <w:color w:val="000000" w:themeColor="text1"/>
          <w14:textFill>
            <w14:solidFill>
              <w14:schemeClr w14:val="tx1"/>
            </w14:solidFill>
          </w14:textFill>
        </w:rPr>
        <w:t>脱贫攻坚目标任务如期完成</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“十三五”期间，全市上下坚持精准扶贫精准脱贫基本方略，以实现“两不愁、三保障”为目标，扎实落实各项有效措施，全面完成了脱贫攻坚任务</w:t>
      </w:r>
      <w:r>
        <w:rPr>
          <w:rFonts w:hint="default" w:ascii="Times New Roman" w:hAnsi="Times New Roman" w:eastAsia="仿宋_GB2312" w:cs="Times New Roman"/>
          <w:color w:val="000000" w:themeColor="text1"/>
          <w:szCs w:val="32"/>
          <w:lang w:eastAsia="zh-CN"/>
          <w14:textFill>
            <w14:solidFill>
              <w14:schemeClr w14:val="tx1"/>
            </w14:solidFill>
          </w14:textFill>
        </w:rPr>
        <w:t>。通过产业扶贫、金融扶贫、消费扶贫、生态扶贫、基础设施和公共服务建设、选派第一书记和驻村工作队等措施，贫困村整体面貌和贫困群众生活水平大幅提高。</w:t>
      </w:r>
      <w:r>
        <w:rPr>
          <w:rFonts w:hint="default" w:ascii="Times New Roman" w:hAnsi="Times New Roman" w:eastAsia="仿宋_GB2312" w:cs="Times New Roman"/>
          <w:color w:val="000000" w:themeColor="text1"/>
          <w:szCs w:val="32"/>
          <w:lang w:val="en-US" w:eastAsia="zh-CN"/>
          <w14:textFill>
            <w14:solidFill>
              <w14:schemeClr w14:val="tx1"/>
            </w14:solidFill>
          </w14:textFill>
        </w:rPr>
        <w:t>到</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十三五</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末期，</w:t>
      </w:r>
      <w:r>
        <w:rPr>
          <w:rFonts w:hint="default" w:ascii="Times New Roman" w:hAnsi="Times New Roman" w:eastAsia="仿宋_GB2312" w:cs="Times New Roman"/>
          <w:color w:val="000000" w:themeColor="text1"/>
          <w:szCs w:val="32"/>
          <w14:textFill>
            <w14:solidFill>
              <w14:schemeClr w14:val="tx1"/>
            </w14:solidFill>
          </w14:textFill>
        </w:rPr>
        <w:t>全市所有25个省级贫困村全面摘帽，全市建档立卡贫困人口4226户8262人已实现全部脱贫。</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综合来看，</w:t>
      </w:r>
      <w:r>
        <w:rPr>
          <w:rFonts w:hint="default" w:ascii="Times New Roman" w:hAnsi="Times New Roman" w:eastAsia="仿宋_GB2312" w:cs="Times New Roman"/>
          <w:color w:val="000000" w:themeColor="text1"/>
          <w:szCs w:val="32"/>
          <w14:textFill>
            <w14:solidFill>
              <w14:schemeClr w14:val="tx1"/>
            </w14:solidFill>
          </w14:textFill>
        </w:rPr>
        <w:t>“十三五”时期，蛟河市农业农村发展取得了历史性成就，脱贫攻坚战取得全面胜利、重要农产品保障水平稳步提高、现代农业发展成效显著、农村改革持续深化、农村面貌焕然一新，为全市“十四五”加快农业农村现代化奠定了坚实基础。</w:t>
      </w:r>
    </w:p>
    <w:p>
      <w:pPr>
        <w:pStyle w:val="3"/>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cs="Times New Roman"/>
          <w:color w:val="000000" w:themeColor="text1"/>
          <w14:textFill>
            <w14:solidFill>
              <w14:schemeClr w14:val="tx1"/>
            </w14:solidFill>
          </w14:textFill>
        </w:rPr>
      </w:pPr>
      <w:bookmarkStart w:id="21" w:name="_Toc15605"/>
      <w:bookmarkStart w:id="22" w:name="_Toc17347"/>
      <w:r>
        <w:rPr>
          <w:rFonts w:hint="default" w:ascii="Times New Roman" w:hAnsi="Times New Roman" w:cs="Times New Roman"/>
          <w:color w:val="000000" w:themeColor="text1"/>
          <w14:textFill>
            <w14:solidFill>
              <w14:schemeClr w14:val="tx1"/>
            </w14:solidFill>
          </w14:textFill>
        </w:rPr>
        <w:t>二、发展形势</w:t>
      </w:r>
      <w:bookmarkEnd w:id="21"/>
      <w:bookmarkEnd w:id="22"/>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“十四五”时期，世界正经历百年未有之大变局，新冠肺炎疫情全球大流行加速变局演化，我市经济社会发展环境正在发生深刻复杂变化。</w:t>
      </w:r>
    </w:p>
    <w:p>
      <w:pPr>
        <w:pStyle w:val="4"/>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eastAsia="楷体_GB2312" w:cs="Times New Roman"/>
          <w:color w:val="000000" w:themeColor="text1"/>
          <w14:textFill>
            <w14:solidFill>
              <w14:schemeClr w14:val="tx1"/>
            </w14:solidFill>
          </w14:textFill>
        </w:rPr>
      </w:pPr>
      <w:bookmarkStart w:id="23" w:name="_Toc726"/>
      <w:bookmarkStart w:id="24" w:name="_Toc25356"/>
      <w:r>
        <w:rPr>
          <w:rFonts w:hint="default" w:ascii="Times New Roman" w:hAnsi="Times New Roman" w:eastAsia="楷体_GB2312" w:cs="Times New Roman"/>
          <w:color w:val="000000" w:themeColor="text1"/>
          <w14:textFill>
            <w14:solidFill>
              <w14:schemeClr w14:val="tx1"/>
            </w14:solidFill>
          </w14:textFill>
        </w:rPr>
        <w:t>（一）发展机遇</w:t>
      </w:r>
      <w:bookmarkEnd w:id="23"/>
      <w:bookmarkEnd w:id="24"/>
    </w:p>
    <w:p>
      <w:pPr>
        <w:pageBreakBefore w:val="0"/>
        <w:widowControl/>
        <w:kinsoku/>
        <w:wordWrap/>
        <w:overflowPunct/>
        <w:topLinePunct w:val="0"/>
        <w:autoSpaceDE/>
        <w:autoSpaceDN/>
        <w:bidi w:val="0"/>
        <w:spacing w:line="560" w:lineRule="exact"/>
        <w:ind w:left="0" w:firstLine="640"/>
        <w:jc w:val="left"/>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从外部看，当今世界正经历百年未有之大变局，积极融入以国内大循环为主体、以国内国际双循环相互促进的新发展格局，经济社会发展同时面临机遇和挑战，主要表现在“</w:t>
      </w:r>
      <w:r>
        <w:rPr>
          <w:rFonts w:hint="default" w:ascii="Times New Roman" w:hAnsi="Times New Roman" w:eastAsia="仿宋_GB2312" w:cs="Times New Roman"/>
          <w:b/>
          <w:bCs/>
          <w:color w:val="000000" w:themeColor="text1"/>
          <w:szCs w:val="32"/>
          <w14:textFill>
            <w14:solidFill>
              <w14:schemeClr w14:val="tx1"/>
            </w14:solidFill>
          </w14:textFill>
        </w:rPr>
        <w:t>五个前所未有</w:t>
      </w:r>
      <w:r>
        <w:rPr>
          <w:rFonts w:hint="default" w:ascii="Times New Roman" w:hAnsi="Times New Roman" w:eastAsia="仿宋_GB2312" w:cs="Times New Roman"/>
          <w:color w:val="000000" w:themeColor="text1"/>
          <w:szCs w:val="32"/>
          <w14:textFill>
            <w14:solidFill>
              <w14:schemeClr w14:val="tx1"/>
            </w14:solidFill>
          </w14:textFill>
        </w:rPr>
        <w:t>”。</w:t>
      </w:r>
    </w:p>
    <w:p>
      <w:pPr>
        <w:pageBreakBefore w:val="0"/>
        <w:widowControl/>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宏观形势复杂多变前所未有。</w:t>
      </w:r>
      <w:r>
        <w:rPr>
          <w:rFonts w:hint="default" w:ascii="Times New Roman" w:hAnsi="Times New Roman" w:eastAsia="仿宋_GB2312" w:cs="Times New Roman"/>
          <w:color w:val="000000" w:themeColor="text1"/>
          <w:szCs w:val="32"/>
          <w14:textFill>
            <w14:solidFill>
              <w14:schemeClr w14:val="tx1"/>
            </w14:solidFill>
          </w14:textFill>
        </w:rPr>
        <w:t>国际经济、科技、文化等格局正在发生深刻调整，对蛟河的产业发展、技术研发、外资外贸等产生一系列深层次影响，但也为全市深入实施“54321”战略，加快推动乡村振兴，实现争先进位弯道超车，跻身全省县域15强带来新契机。</w:t>
      </w:r>
    </w:p>
    <w:p>
      <w:pPr>
        <w:pageBreakBefore w:val="0"/>
        <w:widowControl/>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区域竞争分化前所未有。</w:t>
      </w:r>
      <w:r>
        <w:rPr>
          <w:rFonts w:hint="default" w:ascii="Times New Roman" w:hAnsi="Times New Roman" w:eastAsia="仿宋_GB2312" w:cs="Times New Roman"/>
          <w:color w:val="000000" w:themeColor="text1"/>
          <w:szCs w:val="32"/>
          <w14:textFill>
            <w14:solidFill>
              <w14:schemeClr w14:val="tx1"/>
            </w14:solidFill>
          </w14:textFill>
        </w:rPr>
        <w:t>国际国内经济地理空间结构深刻变化，大城市及城市群间竞争趋势明显，对蛟河争先进位形成持续较大压力，但也为全市集聚发展要素，发挥东三省轴心位置的地缘优势，共建长吉现代化都市圈，改变城市间比较优势和发展位势创造有利条件。</w:t>
      </w:r>
    </w:p>
    <w:p>
      <w:pPr>
        <w:pageBreakBefore w:val="0"/>
        <w:widowControl/>
        <w:kinsoku/>
        <w:wordWrap/>
        <w:overflowPunct/>
        <w:topLinePunct w:val="0"/>
        <w:autoSpaceDE/>
        <w:autoSpaceDN/>
        <w:bidi w:val="0"/>
        <w:spacing w:line="560" w:lineRule="exact"/>
        <w:ind w:left="0" w:firstLine="643"/>
        <w:jc w:val="left"/>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消费结构转型升级前所未有。</w:t>
      </w:r>
      <w:r>
        <w:rPr>
          <w:rFonts w:hint="default" w:ascii="Times New Roman" w:hAnsi="Times New Roman" w:eastAsia="仿宋_GB2312" w:cs="Times New Roman"/>
          <w:color w:val="000000" w:themeColor="text1"/>
          <w:szCs w:val="32"/>
          <w14:textFill>
            <w14:solidFill>
              <w14:schemeClr w14:val="tx1"/>
            </w14:solidFill>
          </w14:textFill>
        </w:rPr>
        <w:t>当前，中国农业现代化取得明显进展，但城乡居民消费的需求正从吃饱向吃好、吃得安全、吃得营养健康转变，农业供给结构性矛盾、农业质量效益和竞争力不高的问题更加凸显，但也为全市抓好“黑木耳、灵芝、晒烟、中药材、洋菇娘、三瓜、葡萄、棚膜蔬菜”等一批优势农业产业，走质量兴农之路，增加绿色优质农产品供给，加快推进农业现代化提供新机遇。</w:t>
      </w:r>
    </w:p>
    <w:p>
      <w:pPr>
        <w:pageBreakBefore w:val="0"/>
        <w:widowControl/>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农业数字化加速变革前所未有。</w:t>
      </w:r>
      <w:r>
        <w:rPr>
          <w:rFonts w:hint="default" w:ascii="Times New Roman" w:hAnsi="Times New Roman" w:eastAsia="仿宋_GB2312" w:cs="Times New Roman"/>
          <w:color w:val="000000" w:themeColor="text1"/>
          <w:szCs w:val="32"/>
          <w14:textFill>
            <w14:solidFill>
              <w14:schemeClr w14:val="tx1"/>
            </w14:solidFill>
          </w14:textFill>
        </w:rPr>
        <w:t>以人工智能、区块链等为代表的新一代信息技术，正广泛而深入地渗透到经济社会各领域，对蛟河传统优势产业发展带来冲击和挑战，但也为全市充分发挥“互联网+”农产品出村进城工程国家级试点县优势，加快推进信息技术在农业生产经营中广泛应用，推动农业数字化，加快产业转型升级创造条件。</w:t>
      </w:r>
    </w:p>
    <w:p>
      <w:pPr>
        <w:pageBreakBefore w:val="0"/>
        <w:widowControl/>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国家政策支撑力度前所未有。</w:t>
      </w:r>
      <w:r>
        <w:rPr>
          <w:rFonts w:hint="default" w:ascii="Times New Roman" w:hAnsi="Times New Roman" w:eastAsia="仿宋_GB2312" w:cs="Times New Roman"/>
          <w:color w:val="000000" w:themeColor="text1"/>
          <w:szCs w:val="32"/>
          <w14:textFill>
            <w14:solidFill>
              <w14:schemeClr w14:val="tx1"/>
            </w14:solidFill>
          </w14:textFill>
        </w:rPr>
        <w:t>我国农业已经进入高质量发展的新阶段，农业农村发展迎来政策红利期，“十四五”期间国家将围绕打好种业翻身仗、强化农业科技与物质装备支撑、财政维持向乡村公共基础设施建设的倾斜力度、推进以县城为载体的新型城镇化建设、农村集体经营性建设用地入市或将加速推进等方面加大政策支持力度，推动更多要素向农业农村集聚，必将给蛟河市农业和农村经济发展带来重大发展的战略机遇。</w:t>
      </w:r>
    </w:p>
    <w:p>
      <w:pPr>
        <w:pStyle w:val="4"/>
        <w:keepNext/>
        <w:keepLines/>
        <w:pageBreakBefore w:val="0"/>
        <w:widowControl w:val="0"/>
        <w:kinsoku/>
        <w:wordWrap/>
        <w:overflowPunct/>
        <w:topLinePunct w:val="0"/>
        <w:autoSpaceDE/>
        <w:autoSpaceDN/>
        <w:bidi w:val="0"/>
        <w:adjustRightInd/>
        <w:snapToGrid/>
        <w:spacing w:before="0" w:beforeLines="0" w:after="0" w:afterLines="0" w:line="560" w:lineRule="exact"/>
        <w:ind w:left="0" w:firstLine="0"/>
        <w:textAlignment w:val="auto"/>
        <w:rPr>
          <w:rFonts w:hint="default" w:ascii="Times New Roman" w:hAnsi="Times New Roman" w:eastAsia="楷体_GB2312" w:cs="Times New Roman"/>
          <w:color w:val="000000" w:themeColor="text1"/>
          <w14:textFill>
            <w14:solidFill>
              <w14:schemeClr w14:val="tx1"/>
            </w14:solidFill>
          </w14:textFill>
        </w:rPr>
      </w:pPr>
      <w:bookmarkStart w:id="25" w:name="_Toc19195"/>
      <w:bookmarkStart w:id="26" w:name="_Toc25780"/>
      <w:r>
        <w:rPr>
          <w:rFonts w:hint="default" w:ascii="Times New Roman" w:hAnsi="Times New Roman" w:eastAsia="楷体_GB2312" w:cs="Times New Roman"/>
          <w:color w:val="000000" w:themeColor="text1"/>
          <w14:textFill>
            <w14:solidFill>
              <w14:schemeClr w14:val="tx1"/>
            </w14:solidFill>
          </w14:textFill>
        </w:rPr>
        <w:t>（二）面临挑战</w:t>
      </w:r>
      <w:bookmarkEnd w:id="25"/>
      <w:bookmarkEnd w:id="26"/>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从内部看，蛟河处于推动振兴发展滚石上山、爬坡过坎的攻坚期和关键期，在看到有利条件的同时，也必须清醒地认识到，持续保持农业农村良好发展态势，仍面临不少挑战和问题短板。主要呈现“</w:t>
      </w:r>
      <w:r>
        <w:rPr>
          <w:rFonts w:hint="default" w:ascii="Times New Roman" w:hAnsi="Times New Roman" w:eastAsia="仿宋_GB2312" w:cs="Times New Roman"/>
          <w:b/>
          <w:bCs/>
          <w:color w:val="000000" w:themeColor="text1"/>
          <w:szCs w:val="32"/>
          <w14:textFill>
            <w14:solidFill>
              <w14:schemeClr w14:val="tx1"/>
            </w14:solidFill>
          </w14:textFill>
        </w:rPr>
        <w:t>四个日益显著</w:t>
      </w:r>
      <w:r>
        <w:rPr>
          <w:rFonts w:hint="default" w:ascii="Times New Roman" w:hAnsi="Times New Roman" w:eastAsia="仿宋_GB2312" w:cs="Times New Roman"/>
          <w:color w:val="000000" w:themeColor="text1"/>
          <w:szCs w:val="32"/>
          <w14:textFill>
            <w14:solidFill>
              <w14:schemeClr w14:val="tx1"/>
            </w14:solidFill>
          </w14:textFill>
        </w:rPr>
        <w:t>”的阶段性新特征。</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农业竞争力不强的问题日益显著。</w:t>
      </w:r>
      <w:r>
        <w:rPr>
          <w:rFonts w:hint="default" w:ascii="Times New Roman" w:hAnsi="Times New Roman" w:eastAsia="仿宋_GB2312" w:cs="Times New Roman"/>
          <w:color w:val="000000" w:themeColor="text1"/>
          <w:szCs w:val="32"/>
          <w14:textFill>
            <w14:solidFill>
              <w14:schemeClr w14:val="tx1"/>
            </w14:solidFill>
          </w14:textFill>
        </w:rPr>
        <w:t>第一产业向后端延伸不够，第二产业向两端拓展不足，第三产业向高端开发滞后，利益联结机制不健全，小而散、小而低、小而弱问题突出。同时，劳动力、土地等生产成本持续攀升，主要农产品国内外市场价格倒挂，部分农产品进口逐年增多，传统优势农产品出口难度加大，农业大而不强、多而不优的问题更加突出。</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农业发展方式粗放的问题日益显著。</w:t>
      </w:r>
      <w:r>
        <w:rPr>
          <w:rFonts w:hint="default" w:ascii="Times New Roman" w:hAnsi="Times New Roman" w:eastAsia="仿宋_GB2312" w:cs="Times New Roman"/>
          <w:color w:val="000000" w:themeColor="text1"/>
          <w:szCs w:val="32"/>
          <w14:textFill>
            <w14:solidFill>
              <w14:schemeClr w14:val="tx1"/>
            </w14:solidFill>
          </w14:textFill>
        </w:rPr>
        <w:t>随着新型城镇化进程的不断推进和人口老龄化程度的逐渐加深，全市农村居民数量和比重近年来不断下降，在农村从事农业劳动的劳动力在迅速减少。农业用地细碎化问题致使农业规模经营成本居高不下，加之土地流转租金不断上涨，农民传统务农的观念难以迅速转变，如何解决农业规模化程度不够、集约化水平不高等一系列问题，加快传统粗放农业向现代精细农业转变是蛟河农业农村发展不得不解决的一项课题。</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绿色优质农产品供给不足日益显著。</w:t>
      </w:r>
      <w:r>
        <w:rPr>
          <w:rFonts w:hint="default" w:ascii="Times New Roman" w:hAnsi="Times New Roman" w:eastAsia="仿宋_GB2312" w:cs="Times New Roman"/>
          <w:color w:val="000000" w:themeColor="text1"/>
          <w:szCs w:val="32"/>
          <w14:textFill>
            <w14:solidFill>
              <w14:schemeClr w14:val="tx1"/>
            </w14:solidFill>
          </w14:textFill>
        </w:rPr>
        <w:t>近些年蛟河市农业农村发展成效显著，但结构性矛盾突出、供求关系发生了新变化，同时城镇化加快、人们的消费结构和水平也明显提高，一般的农产品不缺，但是优质、绿色农产品仍显不足，加快提高绿色优质农产品有效供给</w:t>
      </w:r>
      <w:r>
        <w:rPr>
          <w:rFonts w:hint="default" w:ascii="Times New Roman" w:hAnsi="Times New Roman" w:eastAsia="仿宋_GB2312" w:cs="Times New Roman"/>
          <w:color w:val="000000" w:themeColor="text1"/>
          <w:szCs w:val="32"/>
          <w:highlight w:val="none"/>
          <w14:textFill>
            <w14:solidFill>
              <w14:schemeClr w14:val="tx1"/>
            </w14:solidFill>
          </w14:textFill>
        </w:rPr>
        <w:t>的任务</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仍</w:t>
      </w:r>
      <w:r>
        <w:rPr>
          <w:rFonts w:hint="default" w:ascii="Times New Roman" w:hAnsi="Times New Roman" w:eastAsia="仿宋_GB2312" w:cs="Times New Roman"/>
          <w:color w:val="000000" w:themeColor="text1"/>
          <w:szCs w:val="32"/>
          <w:highlight w:val="none"/>
          <w14:textFill>
            <w14:solidFill>
              <w14:schemeClr w14:val="tx1"/>
            </w14:solidFill>
          </w14:textFill>
        </w:rPr>
        <w:t>十分紧迫。</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资源要素瓶颈制约发展日益显著。</w:t>
      </w:r>
      <w:r>
        <w:rPr>
          <w:rFonts w:hint="default" w:ascii="Times New Roman" w:hAnsi="Times New Roman" w:eastAsia="仿宋_GB2312" w:cs="Times New Roman"/>
          <w:color w:val="000000" w:themeColor="text1"/>
          <w:szCs w:val="32"/>
          <w14:textFill>
            <w14:solidFill>
              <w14:schemeClr w14:val="tx1"/>
            </w14:solidFill>
          </w14:textFill>
        </w:rPr>
        <w:t>目前城市与农村发展仍然处于失衡状态，资金、技术、人才向乡村流动仍有诸多障碍，资金稳定投入机制尚未建立，人才激励保障机制尚不完善，社会资本下乡动力不足。乡村网络、通讯、物流等设施薄弱。</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综合分析研判：“十四五”期间，蛟河市农业农村经济发展进入加速推进期，机遇和挑战并存，压力和动力同在。进入新发展阶段、贯彻新发展理念、融入新发展格局，必须增强机遇意识和紧迫意识，准确识变、科学应变、主动求变，善于在危机中育先机，于变局中开新局，坚持打先锋站排头，加快推进农业农村现代化建设，推动乡村全面振兴全方位振兴取得新的更大突破。</w:t>
      </w:r>
    </w:p>
    <w:p>
      <w:pPr>
        <w:pStyle w:val="3"/>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cs="Times New Roman"/>
          <w:color w:val="000000" w:themeColor="text1"/>
          <w14:textFill>
            <w14:solidFill>
              <w14:schemeClr w14:val="tx1"/>
            </w14:solidFill>
          </w14:textFill>
        </w:rPr>
      </w:pPr>
      <w:bookmarkStart w:id="27" w:name="_Toc15333"/>
      <w:bookmarkStart w:id="28" w:name="_Toc4448"/>
      <w:r>
        <w:rPr>
          <w:rFonts w:hint="default" w:ascii="Times New Roman" w:hAnsi="Times New Roman" w:cs="Times New Roman"/>
          <w:color w:val="000000" w:themeColor="text1"/>
          <w14:textFill>
            <w14:solidFill>
              <w14:schemeClr w14:val="tx1"/>
            </w14:solidFill>
          </w14:textFill>
        </w:rPr>
        <w:t>三、总体思路</w:t>
      </w:r>
      <w:bookmarkEnd w:id="27"/>
      <w:bookmarkEnd w:id="28"/>
    </w:p>
    <w:p>
      <w:pPr>
        <w:pStyle w:val="4"/>
        <w:keepNext/>
        <w:keepLines/>
        <w:pageBreakBefore w:val="0"/>
        <w:widowControl w:val="0"/>
        <w:kinsoku/>
        <w:wordWrap/>
        <w:overflowPunct/>
        <w:topLinePunct w:val="0"/>
        <w:autoSpaceDE/>
        <w:autoSpaceDN/>
        <w:bidi w:val="0"/>
        <w:adjustRightInd/>
        <w:snapToGrid/>
        <w:spacing w:before="0" w:beforeLines="0" w:after="0" w:afterLines="0" w:line="560" w:lineRule="exact"/>
        <w:ind w:left="0" w:firstLine="0"/>
        <w:textAlignment w:val="auto"/>
        <w:rPr>
          <w:rFonts w:hint="default" w:ascii="Times New Roman" w:hAnsi="Times New Roman" w:eastAsia="楷体_GB2312" w:cs="Times New Roman"/>
          <w:color w:val="000000" w:themeColor="text1"/>
          <w14:textFill>
            <w14:solidFill>
              <w14:schemeClr w14:val="tx1"/>
            </w14:solidFill>
          </w14:textFill>
        </w:rPr>
      </w:pPr>
      <w:bookmarkStart w:id="29" w:name="_Toc5351"/>
      <w:bookmarkStart w:id="30" w:name="_Toc14855"/>
      <w:bookmarkStart w:id="31" w:name="_Toc19781"/>
      <w:r>
        <w:rPr>
          <w:rFonts w:hint="default" w:ascii="Times New Roman" w:hAnsi="Times New Roman" w:eastAsia="楷体_GB2312" w:cs="Times New Roman"/>
          <w:color w:val="000000" w:themeColor="text1"/>
          <w14:textFill>
            <w14:solidFill>
              <w14:schemeClr w14:val="tx1"/>
            </w14:solidFill>
          </w14:textFill>
        </w:rPr>
        <w:t>（一）指导思想</w:t>
      </w:r>
      <w:bookmarkEnd w:id="29"/>
      <w:bookmarkEnd w:id="30"/>
      <w:bookmarkEnd w:id="31"/>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高举习近平新时代中国特色社会主义思想伟大旗帜，深入贯彻党的十九大和十九届历次全会精神，全面落实省委十一届八次全会、吉林市委十三届十次全会和市委十四届十二次全会部署，全面对接国家和省市发展战略，深入</w:t>
      </w:r>
      <w:r>
        <w:rPr>
          <w:rFonts w:hint="default" w:ascii="Times New Roman" w:hAnsi="Times New Roman" w:eastAsia="仿宋_GB2312" w:cs="Times New Roman"/>
          <w:color w:val="000000" w:themeColor="text1"/>
          <w:szCs w:val="32"/>
          <w:lang w:val="en-US" w:eastAsia="zh-CN"/>
          <w14:textFill>
            <w14:solidFill>
              <w14:schemeClr w14:val="tx1"/>
            </w14:solidFill>
          </w14:textFill>
        </w:rPr>
        <w:t>实施</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14:textFill>
            <w14:solidFill>
              <w14:schemeClr w14:val="tx1"/>
            </w14:solidFill>
          </w14:textFill>
        </w:rPr>
        <w:t>54321</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14:textFill>
            <w14:solidFill>
              <w14:schemeClr w14:val="tx1"/>
            </w14:solidFill>
          </w14:textFill>
        </w:rPr>
        <w:t>发展战略，坚持以实施乡村振兴战略为总抓手，以推动高质量发展为主题，以改革创新为根本动力，以促进农业增效、农民增收、农村增美为目标，以推动一二三产业融合发展为路径，加快推动农业发展质量变革、效率变革、动力变革，全面提升农业质量效益和竞争力，</w:t>
      </w:r>
      <w:r>
        <w:rPr>
          <w:rFonts w:hint="default" w:ascii="Times New Roman" w:hAnsi="Times New Roman" w:eastAsia="仿宋_GB2312" w:cs="Times New Roman"/>
          <w:color w:val="000000" w:themeColor="text1"/>
          <w:szCs w:val="32"/>
          <w:lang w:val="en-US" w:eastAsia="zh-CN"/>
          <w14:textFill>
            <w14:solidFill>
              <w14:schemeClr w14:val="tx1"/>
            </w14:solidFill>
          </w14:textFill>
        </w:rPr>
        <w:t>将</w:t>
      </w:r>
      <w:r>
        <w:rPr>
          <w:rFonts w:hint="default" w:ascii="Times New Roman" w:hAnsi="Times New Roman" w:eastAsia="仿宋_GB2312" w:cs="Times New Roman"/>
          <w:color w:val="000000" w:themeColor="text1"/>
          <w:szCs w:val="32"/>
          <w14:textFill>
            <w14:solidFill>
              <w14:schemeClr w14:val="tx1"/>
            </w14:solidFill>
          </w14:textFill>
        </w:rPr>
        <w:t>蛟河</w:t>
      </w:r>
      <w:r>
        <w:rPr>
          <w:rFonts w:hint="default" w:ascii="Times New Roman" w:hAnsi="Times New Roman" w:eastAsia="仿宋_GB2312" w:cs="Times New Roman"/>
          <w:color w:val="000000" w:themeColor="text1"/>
          <w:szCs w:val="32"/>
          <w:lang w:val="en-US" w:eastAsia="zh-CN"/>
          <w14:textFill>
            <w14:solidFill>
              <w14:schemeClr w14:val="tx1"/>
            </w14:solidFill>
          </w14:textFill>
        </w:rPr>
        <w:t>市建设</w:t>
      </w:r>
      <w:r>
        <w:rPr>
          <w:rFonts w:hint="default" w:ascii="Times New Roman" w:hAnsi="Times New Roman" w:eastAsia="仿宋_GB2312" w:cs="Times New Roman"/>
          <w:color w:val="000000" w:themeColor="text1"/>
          <w:szCs w:val="32"/>
          <w14:textFill>
            <w14:solidFill>
              <w14:schemeClr w14:val="tx1"/>
            </w14:solidFill>
          </w14:textFill>
        </w:rPr>
        <w:t>成为吉林市乡村振兴的示范区</w:t>
      </w:r>
      <w:r>
        <w:rPr>
          <w:rFonts w:hint="default" w:ascii="Times New Roman" w:hAnsi="Times New Roman" w:eastAsia="仿宋_GB2312" w:cs="Times New Roman"/>
          <w:color w:val="000000" w:themeColor="text1"/>
          <w:szCs w:val="32"/>
          <w:lang w:eastAsia="zh-CN"/>
          <w14:textFill>
            <w14:solidFill>
              <w14:schemeClr w14:val="tx1"/>
            </w14:solidFill>
          </w14:textFill>
        </w:rPr>
        <w:t>、</w:t>
      </w:r>
      <w:r>
        <w:rPr>
          <w:rFonts w:hint="default" w:ascii="Times New Roman" w:hAnsi="Times New Roman" w:eastAsia="仿宋_GB2312" w:cs="Times New Roman"/>
          <w:color w:val="000000" w:themeColor="text1"/>
          <w:szCs w:val="32"/>
          <w:lang w:val="en-US" w:eastAsia="zh-CN"/>
          <w14:textFill>
            <w14:solidFill>
              <w14:schemeClr w14:val="tx1"/>
            </w14:solidFill>
          </w14:textFill>
        </w:rPr>
        <w:t>样板区</w:t>
      </w:r>
      <w:r>
        <w:rPr>
          <w:rFonts w:hint="default" w:ascii="Times New Roman" w:hAnsi="Times New Roman" w:eastAsia="仿宋_GB2312" w:cs="Times New Roman"/>
          <w:color w:val="000000" w:themeColor="text1"/>
          <w:szCs w:val="32"/>
          <w14:textFill>
            <w14:solidFill>
              <w14:schemeClr w14:val="tx1"/>
            </w14:solidFill>
          </w14:textFill>
        </w:rPr>
        <w:t>。</w:t>
      </w:r>
    </w:p>
    <w:p>
      <w:pPr>
        <w:pStyle w:val="4"/>
        <w:keepNext/>
        <w:keepLines/>
        <w:pageBreakBefore w:val="0"/>
        <w:widowControl w:val="0"/>
        <w:kinsoku/>
        <w:wordWrap/>
        <w:overflowPunct/>
        <w:topLinePunct w:val="0"/>
        <w:autoSpaceDE/>
        <w:autoSpaceDN/>
        <w:bidi w:val="0"/>
        <w:adjustRightInd/>
        <w:snapToGrid/>
        <w:spacing w:before="0" w:beforeLines="0" w:after="0" w:afterLines="0" w:line="560" w:lineRule="exact"/>
        <w:ind w:left="0" w:firstLine="0"/>
        <w:textAlignment w:val="auto"/>
        <w:rPr>
          <w:rFonts w:hint="default" w:ascii="Times New Roman" w:hAnsi="Times New Roman" w:eastAsia="楷体_GB2312" w:cs="Times New Roman"/>
          <w:color w:val="000000" w:themeColor="text1"/>
          <w14:textFill>
            <w14:solidFill>
              <w14:schemeClr w14:val="tx1"/>
            </w14:solidFill>
          </w14:textFill>
        </w:rPr>
      </w:pPr>
      <w:bookmarkStart w:id="32" w:name="_Toc11421"/>
      <w:bookmarkStart w:id="33" w:name="_Toc11245"/>
      <w:r>
        <w:rPr>
          <w:rFonts w:hint="default" w:ascii="Times New Roman" w:hAnsi="Times New Roman" w:eastAsia="楷体_GB2312" w:cs="Times New Roman"/>
          <w:color w:val="000000" w:themeColor="text1"/>
          <w14:textFill>
            <w14:solidFill>
              <w14:schemeClr w14:val="tx1"/>
            </w14:solidFill>
          </w14:textFill>
        </w:rPr>
        <w:t>（二）基本原则</w:t>
      </w:r>
      <w:bookmarkEnd w:id="32"/>
      <w:bookmarkEnd w:id="33"/>
    </w:p>
    <w:p>
      <w:pPr>
        <w:pStyle w:val="11"/>
        <w:pageBreakBefore w:val="0"/>
        <w:kinsoku/>
        <w:wordWrap/>
        <w:overflowPunct/>
        <w:topLinePunct w:val="0"/>
        <w:autoSpaceDE/>
        <w:autoSpaceDN/>
        <w:bidi w:val="0"/>
        <w:spacing w:line="560" w:lineRule="exact"/>
        <w:ind w:left="0" w:firstLine="643"/>
        <w:jc w:val="both"/>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highlight w:val="none"/>
          <w:lang w:eastAsia="zh-CN"/>
          <w14:textFill>
            <w14:solidFill>
              <w14:schemeClr w14:val="tx1"/>
            </w14:solidFill>
          </w14:textFill>
        </w:rPr>
        <w:t>——</w:t>
      </w:r>
      <w:r>
        <w:rPr>
          <w:rFonts w:hint="default" w:ascii="Times New Roman" w:hAnsi="Times New Roman" w:eastAsia="仿宋_GB2312" w:cs="Times New Roman"/>
          <w:b/>
          <w:bCs/>
          <w:color w:val="000000" w:themeColor="text1"/>
          <w:szCs w:val="32"/>
          <w:highlight w:val="none"/>
          <w14:textFill>
            <w14:solidFill>
              <w14:schemeClr w14:val="tx1"/>
            </w14:solidFill>
          </w14:textFill>
        </w:rPr>
        <w:t>坚持党的全面领导。</w:t>
      </w:r>
      <w:r>
        <w:rPr>
          <w:rFonts w:hint="default" w:ascii="Times New Roman" w:hAnsi="Times New Roman" w:eastAsia="仿宋_GB2312" w:cs="Times New Roman"/>
          <w:color w:val="000000" w:themeColor="text1"/>
          <w:szCs w:val="32"/>
          <w:highlight w:val="none"/>
          <w14:textFill>
            <w14:solidFill>
              <w14:schemeClr w14:val="tx1"/>
            </w14:solidFill>
          </w14:textFill>
        </w:rPr>
        <w:t>坚持党对农村工作的全面领导，健全党管农村工作领导体制，</w:t>
      </w:r>
      <w:r>
        <w:rPr>
          <w:rFonts w:hint="default" w:ascii="Times New Roman" w:hAnsi="Times New Roman" w:eastAsia="仿宋_GB2312" w:cs="Times New Roman"/>
          <w:b w:val="0"/>
          <w:i w:val="0"/>
          <w:color w:val="000000" w:themeColor="text1"/>
          <w:sz w:val="32"/>
          <w:highlight w:val="none"/>
          <w14:textFill>
            <w14:solidFill>
              <w14:schemeClr w14:val="tx1"/>
            </w14:solidFill>
          </w14:textFill>
        </w:rPr>
        <w:t>全面落实</w:t>
      </w:r>
      <w:r>
        <w:rPr>
          <w:rFonts w:hint="default" w:ascii="Times New Roman" w:hAnsi="Times New Roman" w:eastAsia="仿宋_GB2312" w:cs="Times New Roman"/>
          <w:color w:val="000000" w:themeColor="text1"/>
          <w:szCs w:val="32"/>
          <w:highlight w:val="none"/>
          <w14:textFill>
            <w14:solidFill>
              <w14:schemeClr w14:val="tx1"/>
            </w14:solidFill>
          </w14:textFill>
        </w:rPr>
        <w:t>“五级书记”抓乡村振兴的责任制度，确保党在农村工作中始终总揽全局、协调各方，为乡村振兴提供坚强有力的政治保障。</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highlight w:val="none"/>
          <w:lang w:eastAsia="zh-CN"/>
          <w14:textFill>
            <w14:solidFill>
              <w14:schemeClr w14:val="tx1"/>
            </w14:solidFill>
          </w14:textFill>
        </w:rPr>
        <w:t>——</w:t>
      </w:r>
      <w:r>
        <w:rPr>
          <w:rFonts w:hint="default" w:ascii="Times New Roman" w:hAnsi="Times New Roman" w:eastAsia="仿宋_GB2312" w:cs="Times New Roman"/>
          <w:b/>
          <w:bCs/>
          <w:color w:val="000000" w:themeColor="text1"/>
          <w:szCs w:val="32"/>
          <w:highlight w:val="none"/>
          <w14:textFill>
            <w14:solidFill>
              <w14:schemeClr w14:val="tx1"/>
            </w14:solidFill>
          </w14:textFill>
        </w:rPr>
        <w:t>坚持以人民为中心。</w:t>
      </w:r>
      <w:r>
        <w:rPr>
          <w:rFonts w:hint="default" w:ascii="Times New Roman" w:hAnsi="Times New Roman" w:eastAsia="仿宋_GB2312" w:cs="Times New Roman"/>
          <w:color w:val="000000" w:themeColor="text1"/>
          <w:szCs w:val="32"/>
          <w:highlight w:val="none"/>
          <w14:textFill>
            <w14:solidFill>
              <w14:schemeClr w14:val="tx1"/>
            </w14:solidFill>
          </w14:textFill>
        </w:rPr>
        <w:t>充分尊重农民意愿，切实发挥农民在农业农村现代化中的主体作用，调动广大农民的积极性、主动性、创造性，把维护农民群众根本利益、促进农民共同富裕作为出发点和落脚点，促进农民持续增收，不断提升农民的获得感、幸福感、安全感。</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highlight w:val="none"/>
          <w:lang w:eastAsia="zh-CN"/>
          <w14:textFill>
            <w14:solidFill>
              <w14:schemeClr w14:val="tx1"/>
            </w14:solidFill>
          </w14:textFill>
        </w:rPr>
        <w:t>——</w:t>
      </w:r>
      <w:r>
        <w:rPr>
          <w:rFonts w:hint="default" w:ascii="Times New Roman" w:hAnsi="Times New Roman" w:eastAsia="仿宋_GB2312" w:cs="Times New Roman"/>
          <w:b/>
          <w:bCs/>
          <w:color w:val="000000" w:themeColor="text1"/>
          <w:szCs w:val="32"/>
          <w:highlight w:val="none"/>
          <w14:textFill>
            <w14:solidFill>
              <w14:schemeClr w14:val="tx1"/>
            </w14:solidFill>
          </w14:textFill>
        </w:rPr>
        <w:t>坚持新发展理念。</w:t>
      </w:r>
      <w:r>
        <w:rPr>
          <w:rFonts w:hint="default" w:ascii="Times New Roman" w:hAnsi="Times New Roman" w:eastAsia="仿宋_GB2312" w:cs="Times New Roman"/>
          <w:color w:val="000000" w:themeColor="text1"/>
          <w:szCs w:val="32"/>
          <w:highlight w:val="none"/>
          <w14:textFill>
            <w14:solidFill>
              <w14:schemeClr w14:val="tx1"/>
            </w14:solidFill>
          </w14:textFill>
        </w:rPr>
        <w:t>把新发展理念贯穿全市农业农村发展全过程和各领域，固根基、扬优势、补短板、强弱项，推动质量变革、效率变革、动力变革，实现更高质量、更有效率、更加公平、更可持续、更为安全的发展。</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highlight w:val="none"/>
          <w:lang w:eastAsia="zh-CN"/>
          <w14:textFill>
            <w14:solidFill>
              <w14:schemeClr w14:val="tx1"/>
            </w14:solidFill>
          </w14:textFill>
        </w:rPr>
        <w:t>——</w:t>
      </w:r>
      <w:r>
        <w:rPr>
          <w:rFonts w:hint="default" w:ascii="Times New Roman" w:hAnsi="Times New Roman" w:eastAsia="仿宋_GB2312" w:cs="Times New Roman"/>
          <w:b/>
          <w:bCs/>
          <w:color w:val="000000" w:themeColor="text1"/>
          <w:szCs w:val="32"/>
          <w:highlight w:val="none"/>
          <w14:textFill>
            <w14:solidFill>
              <w14:schemeClr w14:val="tx1"/>
            </w14:solidFill>
          </w14:textFill>
        </w:rPr>
        <w:t>坚持深化农村改革。</w:t>
      </w:r>
      <w:r>
        <w:rPr>
          <w:rFonts w:hint="default" w:ascii="Times New Roman" w:hAnsi="Times New Roman" w:eastAsia="仿宋_GB2312" w:cs="Times New Roman"/>
          <w:color w:val="000000" w:themeColor="text1"/>
          <w:szCs w:val="32"/>
          <w:highlight w:val="none"/>
          <w14:textFill>
            <w14:solidFill>
              <w14:schemeClr w14:val="tx1"/>
            </w14:solidFill>
          </w14:textFill>
        </w:rPr>
        <w:t>坚定不移推进改革，坚定不移扩大开放，加强乡村治理体系和治理能力现代化建设，破除制约高质量发展、高品质生活的体制机制障碍，强化有利于提高资源配置效率、有利于调动全社会积极性的重大改革开放举措，持续增强发展动力和活力。</w:t>
      </w:r>
    </w:p>
    <w:p>
      <w:pPr>
        <w:pageBreakBefore w:val="0"/>
        <w:kinsoku/>
        <w:wordWrap/>
        <w:overflowPunct/>
        <w:topLinePunct w:val="0"/>
        <w:autoSpaceDE/>
        <w:autoSpaceDN/>
        <w:bidi w:val="0"/>
        <w:adjustRightInd w:val="0"/>
        <w:snapToGrid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highlight w:val="none"/>
          <w:lang w:eastAsia="zh-CN"/>
          <w14:textFill>
            <w14:solidFill>
              <w14:schemeClr w14:val="tx1"/>
            </w14:solidFill>
          </w14:textFill>
        </w:rPr>
        <w:t>——</w:t>
      </w:r>
      <w:r>
        <w:rPr>
          <w:rFonts w:hint="default" w:ascii="Times New Roman" w:hAnsi="Times New Roman" w:eastAsia="仿宋_GB2312" w:cs="Times New Roman"/>
          <w:b/>
          <w:bCs/>
          <w:color w:val="000000" w:themeColor="text1"/>
          <w:szCs w:val="32"/>
          <w:highlight w:val="none"/>
          <w14:textFill>
            <w14:solidFill>
              <w14:schemeClr w14:val="tx1"/>
            </w14:solidFill>
          </w14:textFill>
        </w:rPr>
        <w:t>坚持城乡融合发展。</w:t>
      </w:r>
      <w:r>
        <w:rPr>
          <w:rFonts w:hint="default" w:ascii="Times New Roman" w:hAnsi="Times New Roman" w:eastAsia="仿宋_GB2312" w:cs="Times New Roman"/>
          <w:color w:val="000000" w:themeColor="text1"/>
          <w:szCs w:val="32"/>
          <w:highlight w:val="none"/>
          <w14:textFill>
            <w14:solidFill>
              <w14:schemeClr w14:val="tx1"/>
            </w14:solidFill>
          </w14:textFill>
        </w:rPr>
        <w:t>坚持土地所有制性质不改变，耕地红线不突破，农民利益不受损，城乡一盘棋整体谋划设计，促进城乡政治</w:t>
      </w:r>
      <w:r>
        <w:rPr>
          <w:rFonts w:hint="default" w:ascii="Times New Roman" w:hAnsi="Times New Roman" w:eastAsia="仿宋_GB2312" w:cs="Times New Roman"/>
          <w:color w:val="000000" w:themeColor="text1"/>
          <w:szCs w:val="32"/>
          <w14:textFill>
            <w14:solidFill>
              <w14:schemeClr w14:val="tx1"/>
            </w14:solidFill>
          </w14:textFill>
        </w:rPr>
        <w:t>、经济、文化、社会、生态全面融合，构建工农互促、城乡互补、协调发展、共同繁荣的新型工农城乡关系。</w:t>
      </w:r>
    </w:p>
    <w:p>
      <w:pPr>
        <w:pStyle w:val="2"/>
        <w:pageBreakBefore w:val="0"/>
        <w:kinsoku/>
        <w:wordWrap/>
        <w:overflowPunct/>
        <w:topLinePunct w:val="0"/>
        <w:autoSpaceDE/>
        <w:autoSpaceDN/>
        <w:bidi w:val="0"/>
        <w:spacing w:line="560" w:lineRule="exact"/>
        <w:ind w:left="0" w:firstLine="643"/>
        <w:textAlignment w:val="auto"/>
        <w:rPr>
          <w:rFonts w:hint="default" w:ascii="Times New Roman" w:hAnsi="Times New Roman" w:cs="Times New Roman"/>
          <w:color w:val="000000" w:themeColor="text1"/>
          <w:szCs w:val="32"/>
          <w14:textFill>
            <w14:solidFill>
              <w14:schemeClr w14:val="tx1"/>
            </w14:solidFill>
          </w14:textFill>
        </w:rPr>
      </w:pPr>
      <w:r>
        <w:rPr>
          <w:rFonts w:hint="default" w:ascii="Times New Roman" w:hAnsi="Times New Roman" w:cs="Times New Roman"/>
          <w:b w:val="0"/>
          <w:bCs w:val="0"/>
          <w:color w:val="000000" w:themeColor="text1"/>
          <w:szCs w:val="32"/>
          <w14:textFill>
            <w14:solidFill>
              <w14:schemeClr w14:val="tx1"/>
            </w14:solidFill>
          </w14:textFill>
        </w:rPr>
        <w:t>——</w:t>
      </w:r>
      <w:r>
        <w:rPr>
          <w:rFonts w:hint="default" w:ascii="Times New Roman" w:hAnsi="Times New Roman" w:cs="Times New Roman"/>
          <w:b/>
          <w:bCs/>
          <w:color w:val="000000" w:themeColor="text1"/>
          <w:szCs w:val="32"/>
          <w14:textFill>
            <w14:solidFill>
              <w14:schemeClr w14:val="tx1"/>
            </w14:solidFill>
          </w14:textFill>
        </w:rPr>
        <w:t>坚持推动县域经济全面发展。</w:t>
      </w:r>
      <w:r>
        <w:rPr>
          <w:rFonts w:hint="default" w:ascii="Times New Roman" w:hAnsi="Times New Roman" w:cs="Times New Roman"/>
          <w:color w:val="000000" w:themeColor="text1"/>
          <w:szCs w:val="32"/>
          <w14:textFill>
            <w14:solidFill>
              <w14:schemeClr w14:val="tx1"/>
            </w14:solidFill>
          </w14:textFill>
        </w:rPr>
        <w:t>统筹考虑城乡产业发展，合理规划乡村产业布局，逐步形成县城、中心镇（乡）、中心村层级分工明显、功能有机衔接的格局。</w:t>
      </w:r>
    </w:p>
    <w:p>
      <w:pPr>
        <w:pStyle w:val="4"/>
        <w:keepNext/>
        <w:keepLines/>
        <w:pageBreakBefore w:val="0"/>
        <w:widowControl w:val="0"/>
        <w:kinsoku/>
        <w:wordWrap/>
        <w:overflowPunct/>
        <w:topLinePunct w:val="0"/>
        <w:autoSpaceDE/>
        <w:autoSpaceDN/>
        <w:bidi w:val="0"/>
        <w:adjustRightInd/>
        <w:snapToGrid/>
        <w:spacing w:before="0" w:beforeLines="0" w:after="0" w:afterLines="0" w:line="560" w:lineRule="exact"/>
        <w:ind w:left="0" w:firstLine="0"/>
        <w:textAlignment w:val="auto"/>
        <w:rPr>
          <w:rFonts w:hint="default" w:ascii="Times New Roman" w:hAnsi="Times New Roman" w:eastAsia="楷体_GB2312" w:cs="Times New Roman"/>
          <w:color w:val="000000" w:themeColor="text1"/>
          <w14:textFill>
            <w14:solidFill>
              <w14:schemeClr w14:val="tx1"/>
            </w14:solidFill>
          </w14:textFill>
        </w:rPr>
      </w:pPr>
      <w:bookmarkStart w:id="34" w:name="_Toc12208"/>
      <w:bookmarkStart w:id="35" w:name="_Toc27402"/>
      <w:bookmarkStart w:id="36" w:name="_Toc19275"/>
      <w:r>
        <w:rPr>
          <w:rFonts w:hint="default" w:ascii="Times New Roman" w:hAnsi="Times New Roman" w:eastAsia="楷体_GB2312" w:cs="Times New Roman"/>
          <w:color w:val="000000" w:themeColor="text1"/>
          <w14:textFill>
            <w14:solidFill>
              <w14:schemeClr w14:val="tx1"/>
            </w14:solidFill>
          </w14:textFill>
        </w:rPr>
        <w:t>（三）发展目标</w:t>
      </w:r>
      <w:bookmarkEnd w:id="34"/>
      <w:bookmarkEnd w:id="35"/>
      <w:bookmarkEnd w:id="36"/>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力争到2025年，蛟河市农业农村经济发展走在全省前列，总体确保实现“</w:t>
      </w:r>
      <w:r>
        <w:rPr>
          <w:rFonts w:hint="default" w:ascii="Times New Roman" w:hAnsi="Times New Roman" w:eastAsia="仿宋_GB2312" w:cs="Times New Roman"/>
          <w:b/>
          <w:bCs/>
          <w:color w:val="000000" w:themeColor="text1"/>
          <w:szCs w:val="32"/>
          <w14:textFill>
            <w14:solidFill>
              <w14:schemeClr w14:val="tx1"/>
            </w14:solidFill>
          </w14:textFill>
        </w:rPr>
        <w:t>一个衔接、四个突破</w:t>
      </w:r>
      <w:r>
        <w:rPr>
          <w:rFonts w:hint="default" w:ascii="Times New Roman" w:hAnsi="Times New Roman" w:eastAsia="仿宋_GB2312" w:cs="Times New Roman"/>
          <w:color w:val="000000" w:themeColor="text1"/>
          <w:szCs w:val="32"/>
          <w14:textFill>
            <w14:solidFill>
              <w14:schemeClr w14:val="tx1"/>
            </w14:solidFill>
          </w14:textFill>
        </w:rPr>
        <w:t>”。到2035年，农业农村现代化达到全国先进水平，城乡经济社会全面融合，农村居民美好生活高标准实现。</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——“一个衔接”：即实现巩固拓展脱贫攻坚成果同乡村振兴有效衔接。</w:t>
      </w:r>
      <w:r>
        <w:rPr>
          <w:rFonts w:hint="default" w:ascii="Times New Roman" w:hAnsi="Times New Roman" w:eastAsia="仿宋_GB2312" w:cs="Times New Roman"/>
          <w:color w:val="000000" w:themeColor="text1"/>
          <w:szCs w:val="32"/>
          <w14:textFill>
            <w14:solidFill>
              <w14:schemeClr w14:val="tx1"/>
            </w14:solidFill>
          </w14:textFill>
        </w:rPr>
        <w:t>在“五年过渡期”内，“四个不摘”工作有效落实，现有帮扶政策、资金支持、帮扶力量总体保持稳定，防返贫动态监测和帮扶机制有效建立，坚决守住不发生规模性返贫底线。农村基础设施和基本公共服务水平进一步提升，生态环境持续改善，美丽宜居乡村建设扎实推进，乡风文明建设取得显著进展，农村基层组织建设不断加强，脱贫攻坚成果巩固拓展，乡村振兴全面推进。</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——“四个突破”：即在农业高质量发展、农业全产业链建设、培育特色品牌、农业绿色发展上取得新突破。</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在农业高质量发展上求突破。</w:t>
      </w:r>
      <w:r>
        <w:rPr>
          <w:rFonts w:hint="default" w:ascii="Times New Roman" w:hAnsi="Times New Roman" w:eastAsia="仿宋_GB2312" w:cs="Times New Roman"/>
          <w:color w:val="000000" w:themeColor="text1"/>
          <w:szCs w:val="32"/>
          <w14:textFill>
            <w14:solidFill>
              <w14:schemeClr w14:val="tx1"/>
            </w14:solidFill>
          </w14:textFill>
        </w:rPr>
        <w:t>实施创新驱动发展战略，协同推进农业生产技术创新、经营方式创新，完善现代农业产业科技创新体系，推进农业新兴产业科技创新，加强推广服务能力建设，大力培育新型农业经营主体，发展多种形式适度规模经营。农业科技进步贡献率66%以上，农业综合机械化率达到85%，</w:t>
      </w:r>
      <w:r>
        <w:rPr>
          <w:rFonts w:hint="default" w:ascii="Times New Roman" w:hAnsi="Times New Roman" w:eastAsia="仿宋_GB2312" w:cs="Times New Roman"/>
          <w:color w:val="000000" w:themeColor="text1"/>
          <w:szCs w:val="32"/>
          <w:highlight w:val="none"/>
          <w14:textFill>
            <w14:solidFill>
              <w14:schemeClr w14:val="tx1"/>
            </w14:solidFill>
          </w14:textFill>
        </w:rPr>
        <w:t>家庭农场、</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农民专业合作社、龙头企业</w:t>
      </w:r>
      <w:r>
        <w:rPr>
          <w:rFonts w:hint="default" w:ascii="Times New Roman" w:hAnsi="Times New Roman" w:eastAsia="仿宋_GB2312" w:cs="Times New Roman"/>
          <w:color w:val="000000" w:themeColor="text1"/>
          <w:szCs w:val="32"/>
          <w:highlight w:val="none"/>
          <w14:textFill>
            <w14:solidFill>
              <w14:schemeClr w14:val="tx1"/>
            </w14:solidFill>
          </w14:textFill>
        </w:rPr>
        <w:t>成为适度规模经营的主体力量。</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在农业全产业链建设求突破。</w:t>
      </w:r>
      <w:r>
        <w:rPr>
          <w:rFonts w:hint="default" w:ascii="Times New Roman" w:hAnsi="Times New Roman" w:eastAsia="仿宋_GB2312" w:cs="Times New Roman"/>
          <w:color w:val="000000" w:themeColor="text1"/>
          <w:szCs w:val="32"/>
          <w14:textFill>
            <w14:solidFill>
              <w14:schemeClr w14:val="tx1"/>
            </w14:solidFill>
          </w14:textFill>
        </w:rPr>
        <w:t>积极发展农产品产地初加工，合理发展农产品精深加工，促进农产品就地加工转化，建设一批农产品加工集中区、农产品物流园区，培育形成一批具有较高水平的10亿元以上蛟河优势特色产业。推动农产品流通设施和市场建设，完善农产品产地市场体系，积极发展现代新型流通业</w:t>
      </w:r>
      <w:r>
        <w:rPr>
          <w:rFonts w:hint="default" w:ascii="Times New Roman" w:hAnsi="Times New Roman" w:eastAsia="仿宋_GB2312" w:cs="Times New Roman"/>
          <w:color w:val="000000" w:themeColor="text1"/>
          <w:szCs w:val="32"/>
          <w:highlight w:val="none"/>
          <w14:textFill>
            <w14:solidFill>
              <w14:schemeClr w14:val="tx1"/>
            </w14:solidFill>
          </w14:textFill>
        </w:rPr>
        <w:t>态，强化特色产业与电商</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衔接</w:t>
      </w:r>
      <w:r>
        <w:rPr>
          <w:rFonts w:hint="default" w:ascii="Times New Roman" w:hAnsi="Times New Roman" w:eastAsia="仿宋_GB2312" w:cs="Times New Roman"/>
          <w:color w:val="000000" w:themeColor="text1"/>
          <w:szCs w:val="32"/>
          <w:highlight w:val="none"/>
          <w14:textFill>
            <w14:solidFill>
              <w14:schemeClr w14:val="tx1"/>
            </w14:solidFill>
          </w14:textFill>
        </w:rPr>
        <w:t>，开</w:t>
      </w:r>
      <w:r>
        <w:rPr>
          <w:rFonts w:hint="default" w:ascii="Times New Roman" w:hAnsi="Times New Roman" w:eastAsia="仿宋_GB2312" w:cs="Times New Roman"/>
          <w:color w:val="000000" w:themeColor="text1"/>
          <w:szCs w:val="32"/>
          <w14:textFill>
            <w14:solidFill>
              <w14:schemeClr w14:val="tx1"/>
            </w14:solidFill>
          </w14:textFill>
        </w:rPr>
        <w:t>展多种形式农产品展示展销活动，促进产销衔接。全市农产品加工产值与农业总产值比重达到2.8：1。</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在培育特色品牌上求突破。</w:t>
      </w:r>
      <w:r>
        <w:rPr>
          <w:rFonts w:hint="default" w:ascii="Times New Roman" w:hAnsi="Times New Roman" w:eastAsia="仿宋_GB2312" w:cs="Times New Roman"/>
          <w:color w:val="000000" w:themeColor="text1"/>
          <w:szCs w:val="32"/>
          <w14:textFill>
            <w14:solidFill>
              <w14:schemeClr w14:val="tx1"/>
            </w14:solidFill>
          </w14:textFill>
        </w:rPr>
        <w:t>依托黑木耳、灵芝、中药材、晒烟、洋菇娘、三瓜、棚膜蔬菜、蓝莓和山野菜等优势产业，初步建成“两品一标”为基础、企业品牌和产品品牌为主体、区域公用品牌为龙头的农产品品牌体系，做响一批标志性的“蛟”字号农产品品牌。力争到2025年，形成“打造一个品牌，带动一个产业，发展一方经济”的格局，品牌领域明显拓展，数量明显增加，质量明显提高，品牌经济成为经济发展的有力支撑。</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在农业绿色发展上求突破。</w:t>
      </w:r>
      <w:r>
        <w:rPr>
          <w:rFonts w:hint="default" w:ascii="Times New Roman" w:hAnsi="Times New Roman" w:eastAsia="仿宋_GB2312" w:cs="Times New Roman"/>
          <w:color w:val="000000" w:themeColor="text1"/>
          <w:szCs w:val="32"/>
          <w14:textFill>
            <w14:solidFill>
              <w14:schemeClr w14:val="tx1"/>
            </w14:solidFill>
          </w14:textFill>
        </w:rPr>
        <w:t>坚持把农村生态文明建设放到更高的战略层面，优化农业产业布局，加强农业面源污染治理，重点构建农牧结合的新型产业体系、</w:t>
      </w:r>
      <w:r>
        <w:rPr>
          <w:rFonts w:hint="default" w:ascii="Times New Roman" w:hAnsi="Times New Roman" w:eastAsia="仿宋_GB2312" w:cs="Times New Roman"/>
          <w:color w:val="000000" w:themeColor="text1"/>
          <w:szCs w:val="32"/>
          <w:highlight w:val="none"/>
          <w14:textFill>
            <w14:solidFill>
              <w14:schemeClr w14:val="tx1"/>
            </w14:solidFill>
          </w14:textFill>
        </w:rPr>
        <w:t>投入品减量化施用的新型生产体系、农业废弃物新型综合利用体</w:t>
      </w:r>
      <w:r>
        <w:rPr>
          <w:rFonts w:hint="default" w:ascii="Times New Roman" w:hAnsi="Times New Roman" w:eastAsia="仿宋_GB2312" w:cs="Times New Roman"/>
          <w:color w:val="000000" w:themeColor="text1"/>
          <w:szCs w:val="32"/>
          <w14:textFill>
            <w14:solidFill>
              <w14:schemeClr w14:val="tx1"/>
            </w14:solidFill>
          </w14:textFill>
        </w:rPr>
        <w:t>系，积极争创国家级农业可持续发展试验示范区。全市农业废弃物综合利用率达到95%，化肥、农药利用率均达到70%以上，测土配方施肥技术覆盖率达到95%以上，主要农作物绿色防控覆盖率达到50%以上、主要农作物病虫害专业化统防统治覆盖率达到50%以上。</w:t>
      </w:r>
    </w:p>
    <w:p>
      <w:pPr>
        <w:pStyle w:val="3"/>
        <w:pageBreakBefore w:val="0"/>
        <w:kinsoku/>
        <w:wordWrap/>
        <w:overflowPunct/>
        <w:topLinePunct w:val="0"/>
        <w:autoSpaceDE/>
        <w:autoSpaceDN/>
        <w:bidi w:val="0"/>
        <w:spacing w:before="0" w:beforeLines="0" w:after="0" w:afterLines="0" w:line="560" w:lineRule="exact"/>
        <w:ind w:left="0" w:firstLine="640"/>
        <w:textAlignment w:val="auto"/>
        <w:rPr>
          <w:rFonts w:hint="default" w:ascii="Times New Roman" w:hAnsi="Times New Roman" w:cs="Times New Roman"/>
          <w:color w:val="000000" w:themeColor="text1"/>
          <w14:textFill>
            <w14:solidFill>
              <w14:schemeClr w14:val="tx1"/>
            </w14:solidFill>
          </w14:textFill>
        </w:rPr>
      </w:pPr>
      <w:bookmarkStart w:id="37" w:name="_Toc6087"/>
      <w:bookmarkStart w:id="38" w:name="_Toc8757"/>
      <w:r>
        <w:rPr>
          <w:rFonts w:hint="default" w:ascii="Times New Roman" w:hAnsi="Times New Roman" w:cs="Times New Roman"/>
          <w:color w:val="000000" w:themeColor="text1"/>
          <w14:textFill>
            <w14:solidFill>
              <w14:schemeClr w14:val="tx1"/>
            </w14:solidFill>
          </w14:textFill>
        </w:rPr>
        <w:t>四、发展布局</w:t>
      </w:r>
      <w:bookmarkEnd w:id="37"/>
      <w:bookmarkEnd w:id="38"/>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按照“粮头食尾”“农头工尾”要求，坚持政府引导、市场主导，重点围绕“十大特色产业、六大功能区”发展基础，结合全省“十大产业集群”建设，统筹优化产业发展布局，促进特色优势产品向主要生产地集聚，加快形成与市场需求相适应，与资源禀赋相匹配的现代农业产业结构和区域布局，打造一批“一村一品、一镇一业”的优势产业发展集聚区。</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14:textFill>
            <w14:solidFill>
              <w14:schemeClr w14:val="tx1"/>
            </w14:solidFill>
          </w14:textFill>
        </w:rPr>
      </w:pPr>
      <w:bookmarkStart w:id="39" w:name="_Toc18018"/>
      <w:bookmarkStart w:id="40" w:name="_Toc30414"/>
      <w:bookmarkStart w:id="41" w:name="_Toc27372"/>
      <w:r>
        <w:rPr>
          <w:rFonts w:hint="default" w:ascii="Times New Roman" w:hAnsi="Times New Roman" w:eastAsia="楷体_GB2312" w:cs="Times New Roman"/>
          <w:color w:val="000000" w:themeColor="text1"/>
          <w14:textFill>
            <w14:solidFill>
              <w14:schemeClr w14:val="tx1"/>
            </w14:solidFill>
          </w14:textFill>
        </w:rPr>
        <w:t>（一）产业布局</w:t>
      </w:r>
      <w:bookmarkEnd w:id="39"/>
      <w:bookmarkEnd w:id="40"/>
      <w:bookmarkEnd w:id="41"/>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1.种植业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深入推进农业供给侧结构性改革，引导各类市场主体按照品种培优、品质提升、品牌打造和标准化生产要求，打造绿色优质安全农产品生产基地。</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（1）玉米产业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依托天岗镇、天北镇、庆岭镇、新站镇、松江镇、漂河镇、前进乡、乌林乡、拉法街、河南街等乡镇街发展粘玉米、甜粘玉米种植，建设鲜食玉米生产基地和以玉米馇子、玉米面、煎饼为主的口粮化玉米生产基地。</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以提高质量、降低成本为核心，以提高农民收入和玉米产业效益为目的，大力发展优质专用品种，加强推进绿色生产方式，提高原料基地标准化生产水平。鼓励支持玉米主食化，支持发展食用玉米、淀粉发酵业用玉米和绿色饲料用玉米，支持发展绿色玉米深加工，打造一批绿色优质玉米产业基地。依托拉法街粘玉米园区，积极申请省级特色农产品优势区建设。</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（2）水稻产业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依托天北镇、天岗镇、新站镇、乌林乡、拉法街、新农街等乡镇街发展优质水稻种植，建设优质水稻种植生产基地。</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依托北方粳稻试验示范基地建设，积极繁育水稻新品种，积极打造一二三产融合发展的现代农业产业园。加快建设一批绿色食品原料（水稻）标准化生产基地，积极开发糙米、胚芽米、方便营养食品等高附加值产品。结合地形地貌、风景区建设，积极发展绿色有机水稻、蟹田稻、虾田稻，通过发展不同品种、不同颜色的水稻，打造“一田多用、一水多用、一季多收”的兼观赏、游乐、食用多途径的高效益水稻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2.养殖业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根据环境总量、禁养区划定和种养平衡要求，稳定现有养殖总量，进一步</w:t>
      </w:r>
      <w:r>
        <w:rPr>
          <w:rFonts w:hint="default" w:ascii="Times New Roman" w:hAnsi="Times New Roman" w:eastAsia="仿宋_GB2312" w:cs="Times New Roman"/>
          <w:color w:val="000000" w:themeColor="text1"/>
          <w:szCs w:val="32"/>
          <w:lang w:val="zh-CN"/>
          <w14:textFill>
            <w14:solidFill>
              <w14:schemeClr w14:val="tx1"/>
            </w14:solidFill>
          </w14:textFill>
        </w:rPr>
        <w:t>优化养殖区域布局，</w:t>
      </w:r>
      <w:r>
        <w:rPr>
          <w:rFonts w:hint="default" w:ascii="Times New Roman" w:hAnsi="Times New Roman" w:eastAsia="仿宋_GB2312" w:cs="Times New Roman"/>
          <w:color w:val="000000" w:themeColor="text1"/>
          <w:szCs w:val="32"/>
          <w14:textFill>
            <w14:solidFill>
              <w14:schemeClr w14:val="tx1"/>
            </w14:solidFill>
          </w14:textFill>
        </w:rPr>
        <w:t>推动</w:t>
      </w:r>
      <w:r>
        <w:rPr>
          <w:rFonts w:hint="default" w:ascii="Times New Roman" w:hAnsi="Times New Roman" w:eastAsia="仿宋_GB2312" w:cs="Times New Roman"/>
          <w:color w:val="000000" w:themeColor="text1"/>
          <w:szCs w:val="32"/>
          <w:lang w:val="zh-CN"/>
          <w14:textFill>
            <w14:solidFill>
              <w14:schemeClr w14:val="tx1"/>
            </w14:solidFill>
          </w14:textFill>
        </w:rPr>
        <w:t>转变养殖方式，</w:t>
      </w:r>
      <w:r>
        <w:rPr>
          <w:rFonts w:hint="default" w:ascii="Times New Roman" w:hAnsi="Times New Roman" w:eastAsia="仿宋_GB2312" w:cs="Times New Roman"/>
          <w:color w:val="000000" w:themeColor="text1"/>
          <w:szCs w:val="32"/>
          <w14:textFill>
            <w14:solidFill>
              <w14:schemeClr w14:val="tx1"/>
            </w14:solidFill>
          </w14:textFill>
        </w:rPr>
        <w:t>积极培育发展肉牛、生猪、家禽等生态养殖业，不断增强畜禽产品的质量安全水平和产业化程度。</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（1）肉牛产业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在新站镇、天岗镇、乌林乡、前进乡、天北镇、奶子山街、庆岭镇、拉法街、河南街等乡镇街适度发展无污染、规模化、集约型的肉牛养殖业。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结合全省“千万头肉牛”“秸秆变肉”等重大工程建设，着力推动肉牛产业向良种繁育、集约养殖、精深加工、全产业链方向升级。积极推广“12422”能繁母牛饲养模式。鼓励支持长白山黑牛产业壮大。结合国土空间规划，强化养殖用地保障。加强肉牛养殖项目建设和指导，做好肉牛养殖场项目选址、立项、用地审批、用水、用电、环保、禁养、金融担保等指导服务，加快推进新建肉牛养殖项目落地投产。到2025年，肉牛发展到</w:t>
      </w:r>
      <w:r>
        <w:rPr>
          <w:rFonts w:hint="default" w:ascii="Times New Roman" w:hAnsi="Times New Roman" w:eastAsia="仿宋_GB2312" w:cs="Times New Roman"/>
          <w:color w:val="000000" w:themeColor="text1"/>
          <w:szCs w:val="32"/>
          <w:lang w:val="en-US" w:eastAsia="zh-CN"/>
          <w14:textFill>
            <w14:solidFill>
              <w14:schemeClr w14:val="tx1"/>
            </w14:solidFill>
          </w14:textFill>
        </w:rPr>
        <w:t>25</w:t>
      </w:r>
      <w:r>
        <w:rPr>
          <w:rFonts w:hint="default" w:ascii="Times New Roman" w:hAnsi="Times New Roman" w:eastAsia="仿宋_GB2312" w:cs="Times New Roman"/>
          <w:color w:val="000000" w:themeColor="text1"/>
          <w:szCs w:val="32"/>
          <w14:textFill>
            <w14:solidFill>
              <w14:schemeClr w14:val="tx1"/>
            </w14:solidFill>
          </w14:textFill>
        </w:rPr>
        <w:t>万头。</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（2）生猪产业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在天岗镇、新站镇、松江镇、乌林乡、拉法街等乡镇街重点培育发展生猪产业。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鼓励各生猪屠宰企业推行“集中屠宰、冷链运输、冷鲜上市”模式，加快推进转型升级，提升生猪就近屠宰加工能力，就近就地收购生猪。以循环化为支撑，加强农牧对接，构建主体小循环、区域中循环、县域大循环的生态循环体系，全面推进养殖废弃物资源化循环利用。以数字化为手段，加快探索推进互联网、物联网、人工智能等技术与生猪产业深度融合，推广应用生猪电子标识，实行智能化管理。到2025年，生猪发展到</w:t>
      </w:r>
      <w:r>
        <w:rPr>
          <w:rFonts w:hint="default" w:ascii="Times New Roman" w:hAnsi="Times New Roman" w:eastAsia="仿宋_GB2312" w:cs="Times New Roman"/>
          <w:color w:val="000000" w:themeColor="text1"/>
          <w:szCs w:val="32"/>
          <w:lang w:val="en-US" w:eastAsia="zh-CN"/>
          <w14:textFill>
            <w14:solidFill>
              <w14:schemeClr w14:val="tx1"/>
            </w14:solidFill>
          </w14:textFill>
        </w:rPr>
        <w:t>39</w:t>
      </w:r>
      <w:r>
        <w:rPr>
          <w:rFonts w:hint="default" w:ascii="Times New Roman" w:hAnsi="Times New Roman" w:eastAsia="仿宋_GB2312" w:cs="Times New Roman"/>
          <w:color w:val="000000" w:themeColor="text1"/>
          <w:szCs w:val="32"/>
          <w14:textFill>
            <w14:solidFill>
              <w14:schemeClr w14:val="tx1"/>
            </w14:solidFill>
          </w14:textFill>
        </w:rPr>
        <w:t>万头。</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（3）家禽产业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依托天北镇、奶子山街等乡镇街重点培育发展禽产业，重点发展肉鹅、肉鸡等产业。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大力推广标准化、集约化、规模化养殖模式，加快推动推</w:t>
      </w:r>
      <w:r>
        <w:rPr>
          <w:rFonts w:hint="default" w:ascii="Times New Roman" w:hAnsi="Times New Roman" w:eastAsia="仿宋_GB2312" w:cs="Times New Roman"/>
          <w:color w:val="000000" w:themeColor="text1"/>
          <w:szCs w:val="32"/>
          <w:highlight w:val="none"/>
          <w14:textFill>
            <w14:solidFill>
              <w14:schemeClr w14:val="tx1"/>
            </w14:solidFill>
          </w14:textFill>
        </w:rPr>
        <w:t>进</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禽</w:t>
      </w:r>
      <w:r>
        <w:rPr>
          <w:rFonts w:hint="default" w:ascii="Times New Roman" w:hAnsi="Times New Roman" w:eastAsia="仿宋_GB2312" w:cs="Times New Roman"/>
          <w:color w:val="000000" w:themeColor="text1"/>
          <w:szCs w:val="32"/>
          <w:highlight w:val="none"/>
          <w14:textFill>
            <w14:solidFill>
              <w14:schemeClr w14:val="tx1"/>
            </w14:solidFill>
          </w14:textFill>
        </w:rPr>
        <w:t>产业转型升，促进禽产业向育种、养殖、屠宰、加工、销售一体化方向发展。到2025年，</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建设一批现代化禽类养殖基地</w:t>
      </w:r>
      <w:r>
        <w:rPr>
          <w:rFonts w:hint="default" w:ascii="Times New Roman" w:hAnsi="Times New Roman" w:eastAsia="仿宋_GB2312" w:cs="Times New Roman"/>
          <w:color w:val="000000" w:themeColor="text1"/>
          <w:szCs w:val="32"/>
          <w:highlight w:val="none"/>
          <w14:textFill>
            <w14:solidFill>
              <w14:schemeClr w14:val="tx1"/>
            </w14:solidFill>
          </w14:textFill>
        </w:rPr>
        <w:t>。</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（4）水产养殖产业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以庆岭镇为核心大力发展生态水产养殖业、智慧水产养殖业、休闲渔业。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 xml:space="preserve">稳步推进柳根子等冷水鱼养殖，加快推进水产养殖业绿色发展，推广立体生态养殖、工厂化循环水养殖等先进技术，推进智慧水产养殖，引导物联网、大数据、人工智能等现代信息技术与水产养殖生产深度融合，开展数字渔业示范。围绕庆岭冰酒小镇建设，推动“渔业+”，深入挖掘渔文化，积极培育垂钓、水族观赏、渔事体验、科普教育等多种休闲业态。 </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3.特色产业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（1）优质食用菌</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充分发挥“黄松甸食用菌特色小镇”建设的辐射带动作用，在黄松甸镇、白石山镇、松江镇、漂河镇、新站镇、庆岭镇、乌林乡、前进乡、天北镇、拉法街等13个乡镇街培育发展黑木耳产业。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以棚室化、标准化、工厂化为方向，努力促进全市食用菌产业生产方式新转变。以“国家级万亩黑木耳标准化种植示范区”为基础，建设食用菌现代科技示范基地，把黄松甸打造成东北最大的食用菌贸易集散地。支持黑尊等企业加快食用菌全产业链开发，深化蛟河食用菌品牌内涵建设，打造蛟河食</w:t>
      </w:r>
      <w:r>
        <w:rPr>
          <w:rFonts w:hint="default" w:ascii="Times New Roman" w:hAnsi="Times New Roman" w:eastAsia="仿宋_GB2312" w:cs="Times New Roman"/>
          <w:color w:val="000000" w:themeColor="text1"/>
          <w:szCs w:val="32"/>
          <w:highlight w:val="none"/>
          <w14:textFill>
            <w14:solidFill>
              <w14:schemeClr w14:val="tx1"/>
            </w14:solidFill>
          </w14:textFill>
        </w:rPr>
        <w:t>用菌产品加工业的“县区会客厅”。积极争取国家级现代农业产业园建设。到2025年，全市黑木耳稳定在10亿袋。</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（2）特色果树</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坚持适地适栽，引导果农特色果树栽培，向适宜、最适宜栽培区集中。重点在白石山镇、松江镇、天岗镇、新站镇、庆岭镇、前进乡、拉法街、河南街等乡镇街，培育发展蓝莓、大榛子、软枣猕猴桃、葡萄、沙棘、黄桃等果树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充分发挥蛟河市独特的地理、气候优势，加快良繁体系建设，加大引种和新品种培育力度，积极推广传统果树优良品种，提高果树优质种苗覆盖率。加强果园标准化建设，改善基地生产条件。加强采后商品化处理和精深加工，拓展水果产业链。</w:t>
      </w:r>
      <w:r>
        <w:rPr>
          <w:rFonts w:hint="default" w:ascii="Times New Roman" w:hAnsi="Times New Roman" w:eastAsia="仿宋_GB2312" w:cs="Times New Roman"/>
          <w:b w:val="0"/>
          <w:i w:val="0"/>
          <w:color w:val="000000" w:themeColor="text1"/>
          <w:sz w:val="32"/>
          <w14:textFill>
            <w14:solidFill>
              <w14:schemeClr w14:val="tx1"/>
            </w14:solidFill>
          </w14:textFill>
        </w:rPr>
        <w:t>到2025年，特色果树发展到3250公顷。</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（3）优质瓜菜</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发挥镇域特色资源优势，因地制宜发展特色蔬菜产业。在白石山镇、拉法街、新农街等乡镇街重点培育发展“三瓜”产业；在白石山镇、松江镇、庆岭镇、前进乡、拉法街等乡镇街重点培育发展山野菜产业；在天北镇、庆岭镇、新农街、民主街、河南街等乡镇街重点培育发展棚膜经济；在新站镇发展韭菜产业等。</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大力推进蔬菜规模化、标准化、多样化生产，进一步提升产量质量水平，保障供应总量平衡，季节均衡，区域和品种平衡。推进主产瓜菜镇区单品化、规模化、周年化生产，推动形成区域特色，打造特色瓜菜品牌。到2025年，瓜菜面积达到3037公顷，产量达到5.4万吨。</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（4）经济作物</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充分发挥漂河镇晒烟、白石山洋菇娘基地建设的辐射带动作用，培育发展晒烟和洋菇娘产业。在漂河镇、白石山镇、乌林乡、庆岭镇、拉法街、新农街、新站镇、河南街等乡镇街重点培育发展晒烟产业。在白石山镇、漂河镇、拉法街等乡镇街重点培育发展洋菇娘产业。</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加快开发、引进新品种、新技术、新产品和成果转化步伐，提升区域内的</w:t>
      </w:r>
      <w:r>
        <w:rPr>
          <w:rFonts w:hint="default" w:ascii="Times New Roman" w:hAnsi="Times New Roman" w:eastAsia="仿宋_GB2312" w:cs="Times New Roman"/>
          <w:b w:val="0"/>
          <w:i w:val="0"/>
          <w:color w:val="000000" w:themeColor="text1"/>
          <w:sz w:val="32"/>
          <w14:textFill>
            <w14:solidFill>
              <w14:schemeClr w14:val="tx1"/>
            </w14:solidFill>
          </w14:textFill>
        </w:rPr>
        <w:t>经济</w:t>
      </w:r>
      <w:r>
        <w:rPr>
          <w:rFonts w:hint="default" w:ascii="Times New Roman" w:hAnsi="Times New Roman" w:eastAsia="仿宋_GB2312" w:cs="Times New Roman"/>
          <w:color w:val="000000" w:themeColor="text1"/>
          <w:szCs w:val="32"/>
          <w14:textFill>
            <w14:solidFill>
              <w14:schemeClr w14:val="tx1"/>
            </w14:solidFill>
          </w14:textFill>
        </w:rPr>
        <w:t>作物栽培技术水平，力争在品种开发、增产提质、节本增资、保鲜加工等领域取得新突破。到2025年，全市晒烟种植面积发展到2500公顷。</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（5）道地中药材</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——发展布局：</w:t>
      </w:r>
      <w:r>
        <w:rPr>
          <w:rFonts w:hint="default" w:ascii="Times New Roman" w:hAnsi="Times New Roman" w:eastAsia="仿宋_GB2312" w:cs="Times New Roman"/>
          <w:color w:val="000000" w:themeColor="text1"/>
          <w:szCs w:val="32"/>
          <w14:textFill>
            <w14:solidFill>
              <w14:schemeClr w14:val="tx1"/>
            </w14:solidFill>
          </w14:textFill>
        </w:rPr>
        <w:t>在前进乡、拉法街、新站镇、乌林乡、漂河镇等乡镇街区重点培育发展人参、灵芝、天麻、白芍等中药材产业基地建设。</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——重点方向：</w:t>
      </w:r>
      <w:r>
        <w:rPr>
          <w:rFonts w:hint="default" w:ascii="Times New Roman" w:hAnsi="Times New Roman" w:eastAsia="仿宋_GB2312" w:cs="Times New Roman"/>
          <w:color w:val="000000" w:themeColor="text1"/>
          <w:szCs w:val="32"/>
          <w14:textFill>
            <w14:solidFill>
              <w14:schemeClr w14:val="tx1"/>
            </w14:solidFill>
          </w14:textFill>
        </w:rPr>
        <w:t>大力推进中药材产业化、规模化、标准化生产，优化中药材产业结构，延伸中药材旅游、康养、加工、销售等产业链，提高产品附加值，增强产品市场竞争力。实施项目带动战略，培育产业经济新的增长点，促进农民增收。突出中药材规模化生产、品牌化经营和产业化发展，全面提升主产乡镇中药材产业现代化水平，实现中药材产业化可持续发展，到2025年，全市中药材发展到2500公顷。</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4.乡村旅游业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立足区位优势、生态优势和人文优势，不断优化“依山、沿路、环湖”的旅游框架格局，围绕长吉图森林生态旅游发展轴线，深入挖掘域内的自然风光、民俗风情、特色物产、历史遗址、红色文化等旅游资源，结合城乡一体化和美丽乡村建设，大力推动乡村旅游模式多元化发展，建设特色旅游名镇名村。重点培育森林生态游、休闲度假游、生活体验游、农业观光游、历史文化游、白色冰雪游、健康养生游等独具特色的蛟河旅游产业，促进乡村旅游持续健康发展。</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——森林生态游：</w:t>
      </w:r>
      <w:r>
        <w:rPr>
          <w:rFonts w:hint="default" w:ascii="Times New Roman" w:hAnsi="Times New Roman" w:eastAsia="仿宋_GB2312" w:cs="Times New Roman"/>
          <w:color w:val="000000" w:themeColor="text1"/>
          <w:szCs w:val="32"/>
          <w14:textFill>
            <w14:solidFill>
              <w14:schemeClr w14:val="tx1"/>
            </w14:solidFill>
          </w14:textFill>
        </w:rPr>
        <w:t>依托拉法山、红叶岭、白石山三个国家级森林公园打造森林生态游；</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——休闲度假游：</w:t>
      </w:r>
      <w:r>
        <w:rPr>
          <w:rFonts w:hint="default" w:ascii="Times New Roman" w:hAnsi="Times New Roman" w:eastAsia="仿宋_GB2312" w:cs="Times New Roman"/>
          <w:color w:val="000000" w:themeColor="text1"/>
          <w:szCs w:val="32"/>
          <w14:textFill>
            <w14:solidFill>
              <w14:schemeClr w14:val="tx1"/>
            </w14:solidFill>
          </w14:textFill>
        </w:rPr>
        <w:t>依托松花湖、金蟾岛、额赫岛、苏尔哈湖湾等打造休闲度假游；</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——生活体验游：</w:t>
      </w:r>
      <w:r>
        <w:rPr>
          <w:rFonts w:hint="default" w:ascii="Times New Roman" w:hAnsi="Times New Roman" w:eastAsia="仿宋_GB2312" w:cs="Times New Roman"/>
          <w:color w:val="000000" w:themeColor="text1"/>
          <w:szCs w:val="32"/>
          <w14:textFill>
            <w14:solidFill>
              <w14:schemeClr w14:val="tx1"/>
            </w14:solidFill>
          </w14:textFill>
        </w:rPr>
        <w:t>依托新站葡萄酒文化、天岗窝集口农家生活体验、庆岭活鱼美食街、乌林朝鲜族风情等打造生活体验游；</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——农业观光游：</w:t>
      </w:r>
      <w:r>
        <w:rPr>
          <w:rFonts w:hint="default" w:ascii="Times New Roman" w:hAnsi="Times New Roman" w:eastAsia="仿宋_GB2312" w:cs="Times New Roman"/>
          <w:color w:val="000000" w:themeColor="text1"/>
          <w:szCs w:val="32"/>
          <w14:textFill>
            <w14:solidFill>
              <w14:schemeClr w14:val="tx1"/>
            </w14:solidFill>
          </w14:textFill>
        </w:rPr>
        <w:t>依托黄松甸的黑木耳、木灵芝，白石山的草莓、洋菇娘，奶子山的中药材，新站镇的山葡萄等各乡镇街的特色农业产业培育农业观光游；</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——历史文化游：</w:t>
      </w:r>
      <w:r>
        <w:rPr>
          <w:rFonts w:hint="default" w:ascii="Times New Roman" w:hAnsi="Times New Roman" w:eastAsia="仿宋_GB2312" w:cs="Times New Roman"/>
          <w:color w:val="000000" w:themeColor="text1"/>
          <w:szCs w:val="32"/>
          <w14:textFill>
            <w14:solidFill>
              <w14:schemeClr w14:val="tx1"/>
            </w14:solidFill>
          </w14:textFill>
        </w:rPr>
        <w:t>发掘整理红叶岭契丹古城、拉法山旧石器时代狩猎、苏尔哈古墓、“拉新战役”遗址、新站国共谈判旧址等历史文物古迹，打造历史文化游；</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——白色冰雪游：</w:t>
      </w:r>
      <w:r>
        <w:rPr>
          <w:rFonts w:hint="default" w:ascii="Times New Roman" w:hAnsi="Times New Roman" w:eastAsia="仿宋_GB2312" w:cs="Times New Roman"/>
          <w:color w:val="000000" w:themeColor="text1"/>
          <w:szCs w:val="32"/>
          <w14:textFill>
            <w14:solidFill>
              <w14:schemeClr w14:val="tx1"/>
            </w14:solidFill>
          </w14:textFill>
        </w:rPr>
        <w:t>依托关东雪庄、新站镇吉祥滑雪场、红叶谷冬季冰雪项目等建设，打造白色冰雪游；</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——健康养生游：</w:t>
      </w:r>
      <w:r>
        <w:rPr>
          <w:rFonts w:hint="default" w:ascii="Times New Roman" w:hAnsi="Times New Roman" w:eastAsia="仿宋_GB2312" w:cs="Times New Roman"/>
          <w:color w:val="000000" w:themeColor="text1"/>
          <w:szCs w:val="32"/>
          <w14:textFill>
            <w14:solidFill>
              <w14:schemeClr w14:val="tx1"/>
            </w14:solidFill>
          </w14:textFill>
        </w:rPr>
        <w:t>依托温泉疗养会馆、特色养生庄园、拉法山康体观光建设打造健康养生游。</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42" w:name="_Toc2600"/>
      <w:bookmarkStart w:id="43" w:name="_Toc18235"/>
      <w:bookmarkStart w:id="44" w:name="_Toc28954"/>
      <w:r>
        <w:rPr>
          <w:rFonts w:hint="default" w:ascii="Times New Roman" w:hAnsi="Times New Roman" w:eastAsia="楷体_GB2312" w:cs="Times New Roman"/>
          <w:color w:val="000000" w:themeColor="text1"/>
          <w:szCs w:val="32"/>
          <w14:textFill>
            <w14:solidFill>
              <w14:schemeClr w14:val="tx1"/>
            </w14:solidFill>
          </w14:textFill>
        </w:rPr>
        <w:t>（二）功能布局</w:t>
      </w:r>
      <w:bookmarkEnd w:id="42"/>
      <w:bookmarkEnd w:id="43"/>
      <w:bookmarkEnd w:id="44"/>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依托现阶段“十大特色产业六大功能区”发展格局，推动产业形态由“小特产”升级为“大产业”，空间布局由“平面分布”转型为“集群发展”，主体关系由“同质竞争”转变为“合作共赢”，形成结构合理、链条完整五大优势特色产业集聚区，使之成为实施乡村振兴的新支撑、农业转型发展的新亮点和产业融合发展的新载体。</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1.黑木耳、灵芝产业集聚区</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依托黄松甸环境优势与气候资源优势，推动黑木耳产业做大做强，统筹黄松甸黑木耳生产加工产业布局，打通黑木耳绿色深加工产业链条，促进黑木耳产业链的有机整合和供应链的全面完善，打造吉林省特色黑木耳农产品品牌，打造黑木耳产业示范区基地；加强提升黄松甸灵芝产业发展的规模和质量，提升品牌的公信力和竞争力，着重进行“产业规模化、工艺现代化、生产标准化、产品品牌化、市场规范化”的建设，重视灵芝文化对提升灵芝产品附加值的重要作用，通过灵芝产品的文化包装，延长产业链，推进灵芝产业发展。</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2.中药材产业集聚区</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重点以清收还林涉及乡镇街为主，推行规模化种植、标准化生产、产业化经营、机械化加工和电商化销售，打造“蛟河药材”品牌。重点强化中药材标准化生产基地、标准化加工基地、标准化仓储物流基地建设，建立健全科技支撑体系、品牌建设与市场营销体系、质量控制体系，建设集仓储物流、市场贸易、电商平台为一体的现代化中药材产业园。</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3.晒烟、洋菇娘、三瓜产业集聚区</w:t>
      </w:r>
    </w:p>
    <w:p>
      <w:pPr>
        <w:pStyle w:val="11"/>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color w:val="000000" w:themeColor="text1"/>
          <w:szCs w:val="32"/>
          <w:highlight w:val="none"/>
          <w14:textFill>
            <w14:solidFill>
              <w14:schemeClr w14:val="tx1"/>
            </w14:solidFill>
          </w14:textFill>
        </w:rPr>
        <w:t>重点以白石山</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镇</w:t>
      </w:r>
      <w:r>
        <w:rPr>
          <w:rFonts w:hint="default" w:ascii="Times New Roman" w:hAnsi="Times New Roman" w:eastAsia="仿宋_GB2312" w:cs="Times New Roman"/>
          <w:color w:val="000000" w:themeColor="text1"/>
          <w:szCs w:val="32"/>
          <w:highlight w:val="none"/>
          <w14:textFill>
            <w14:solidFill>
              <w14:schemeClr w14:val="tx1"/>
            </w14:solidFill>
          </w14:textFill>
        </w:rPr>
        <w:t>、漂河</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镇</w:t>
      </w:r>
      <w:r>
        <w:rPr>
          <w:rFonts w:hint="default" w:ascii="Times New Roman" w:hAnsi="Times New Roman" w:eastAsia="仿宋_GB2312" w:cs="Times New Roman"/>
          <w:color w:val="000000" w:themeColor="text1"/>
          <w:szCs w:val="32"/>
          <w:highlight w:val="none"/>
          <w14:textFill>
            <w14:solidFill>
              <w14:schemeClr w14:val="tx1"/>
            </w14:solidFill>
          </w14:textFill>
        </w:rPr>
        <w:t>为主，发挥区域特色，以“晒烟、</w:t>
      </w:r>
      <w:r>
        <w:rPr>
          <w:rFonts w:hint="default" w:ascii="Times New Roman" w:hAnsi="Times New Roman" w:eastAsia="仿宋_GB2312" w:cs="Times New Roman"/>
          <w:b w:val="0"/>
          <w:i w:val="0"/>
          <w:color w:val="000000" w:themeColor="text1"/>
          <w:sz w:val="32"/>
          <w:highlight w:val="none"/>
          <w14:textFill>
            <w14:solidFill>
              <w14:schemeClr w14:val="tx1"/>
            </w14:solidFill>
          </w14:textFill>
        </w:rPr>
        <w:t>洋菇娘、</w:t>
      </w:r>
      <w:r>
        <w:rPr>
          <w:rFonts w:hint="default" w:ascii="Times New Roman" w:hAnsi="Times New Roman" w:eastAsia="仿宋_GB2312" w:cs="Times New Roman"/>
          <w:color w:val="000000" w:themeColor="text1"/>
          <w:szCs w:val="32"/>
          <w:highlight w:val="none"/>
          <w14:textFill>
            <w14:solidFill>
              <w14:schemeClr w14:val="tx1"/>
            </w14:solidFill>
          </w14:textFill>
        </w:rPr>
        <w:t>三瓜”的第一产业布局结构，推动农业产业化进程，培养职业农民，培植发展以家庭农场、种植养殖大户、专业合作社、农业龙头企业等为主体的农业新型农业经营主体，打造经济作物产业示范区。</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highlight w:val="none"/>
          <w14:textFill>
            <w14:solidFill>
              <w14:schemeClr w14:val="tx1"/>
            </w14:solidFill>
          </w14:textFill>
        </w:rPr>
        <w:t>4.棚膜蔬菜产业集聚区</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color w:val="000000" w:themeColor="text1"/>
          <w:szCs w:val="32"/>
          <w:highlight w:val="none"/>
          <w14:textFill>
            <w14:solidFill>
              <w14:schemeClr w14:val="tx1"/>
            </w14:solidFill>
          </w14:textFill>
        </w:rPr>
        <w:t>以天北镇和城郊街道为主，围绕保供给、保安全、促增收，稳</w:t>
      </w:r>
      <w:r>
        <w:rPr>
          <w:rFonts w:hint="default" w:ascii="Times New Roman" w:hAnsi="Times New Roman" w:eastAsia="仿宋_GB2312" w:cs="Times New Roman"/>
          <w:color w:val="000000" w:themeColor="text1"/>
          <w:szCs w:val="32"/>
          <w14:textFill>
            <w14:solidFill>
              <w14:schemeClr w14:val="tx1"/>
            </w14:solidFill>
          </w14:textFill>
        </w:rPr>
        <w:t>定生产规模，优化品种结构，推进区域化、专业化、标准化、集约化生产，打造吉林市“菜篮子”基</w:t>
      </w:r>
      <w:r>
        <w:rPr>
          <w:rFonts w:hint="default" w:ascii="Times New Roman" w:hAnsi="Times New Roman" w:eastAsia="仿宋_GB2312" w:cs="Times New Roman"/>
          <w:color w:val="000000" w:themeColor="text1"/>
          <w:szCs w:val="32"/>
          <w:highlight w:val="none"/>
          <w14:textFill>
            <w14:solidFill>
              <w14:schemeClr w14:val="tx1"/>
            </w14:solidFill>
          </w14:textFill>
        </w:rPr>
        <w:t>地。</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highlight w:val="none"/>
          <w14:textFill>
            <w14:solidFill>
              <w14:schemeClr w14:val="tx1"/>
            </w14:solidFill>
          </w14:textFill>
        </w:rPr>
      </w:pPr>
      <w:r>
        <w:rPr>
          <w:rFonts w:hint="default" w:ascii="Times New Roman" w:hAnsi="Times New Roman" w:eastAsia="仿宋_GB2312" w:cs="Times New Roman"/>
          <w:b/>
          <w:bCs/>
          <w:color w:val="000000" w:themeColor="text1"/>
          <w:szCs w:val="32"/>
          <w:highlight w:val="none"/>
          <w14:textFill>
            <w14:solidFill>
              <w14:schemeClr w14:val="tx1"/>
            </w14:solidFill>
          </w14:textFill>
        </w:rPr>
        <w:t>5.蓝莓山野菜集聚区</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Cs w:val="32"/>
          <w:highlight w:val="none"/>
          <w14:textFill>
            <w14:solidFill>
              <w14:schemeClr w14:val="tx1"/>
            </w14:solidFill>
          </w14:textFill>
        </w:rPr>
        <w:t>重点以前进</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乡</w:t>
      </w:r>
      <w:r>
        <w:rPr>
          <w:rFonts w:hint="default" w:ascii="Times New Roman" w:hAnsi="Times New Roman" w:eastAsia="仿宋_GB2312" w:cs="Times New Roman"/>
          <w:color w:val="000000" w:themeColor="text1"/>
          <w:szCs w:val="32"/>
          <w:highlight w:val="none"/>
          <w14:textFill>
            <w14:solidFill>
              <w14:schemeClr w14:val="tx1"/>
            </w14:solidFill>
          </w14:textFill>
        </w:rPr>
        <w:t>、乌林</w:t>
      </w:r>
      <w:r>
        <w:rPr>
          <w:rFonts w:hint="default" w:ascii="Times New Roman" w:hAnsi="Times New Roman" w:eastAsia="仿宋_GB2312" w:cs="Times New Roman"/>
          <w:color w:val="000000" w:themeColor="text1"/>
          <w:szCs w:val="32"/>
          <w:highlight w:val="none"/>
          <w:lang w:val="en-US" w:eastAsia="zh-CN"/>
          <w14:textFill>
            <w14:solidFill>
              <w14:schemeClr w14:val="tx1"/>
            </w14:solidFill>
          </w14:textFill>
        </w:rPr>
        <w:t>乡</w:t>
      </w:r>
      <w:r>
        <w:rPr>
          <w:rFonts w:hint="default" w:ascii="Times New Roman" w:hAnsi="Times New Roman" w:eastAsia="仿宋_GB2312" w:cs="Times New Roman"/>
          <w:color w:val="000000" w:themeColor="text1"/>
          <w:szCs w:val="32"/>
          <w:highlight w:val="none"/>
          <w14:textFill>
            <w14:solidFill>
              <w14:schemeClr w14:val="tx1"/>
            </w14:solidFill>
          </w14:textFill>
        </w:rPr>
        <w:t>为主，</w:t>
      </w:r>
      <w:r>
        <w:rPr>
          <w:rFonts w:hint="default" w:ascii="Times New Roman" w:hAnsi="Times New Roman" w:eastAsia="仿宋_GB2312" w:cs="Times New Roman"/>
          <w:color w:val="000000" w:themeColor="text1"/>
          <w:szCs w:val="32"/>
          <w14:textFill>
            <w14:solidFill>
              <w14:schemeClr w14:val="tx1"/>
            </w14:solidFill>
          </w14:textFill>
        </w:rPr>
        <w:t>大力发展现代农业，推动资源优势向产业优势转变，以现代科学技术改造农业、以现代产业体系提升农业、以现代经营形式推进农业、以现代发展理念引领农业，以培养新型农民发展农业，全力建设在全省具有影响力的“特色蓝莓产业基地”。</w:t>
      </w:r>
    </w:p>
    <w:p>
      <w:pPr>
        <w:pageBreakBefore w:val="0"/>
        <w:kinsoku/>
        <w:wordWrap/>
        <w:overflowPunct/>
        <w:topLinePunct w:val="0"/>
        <w:autoSpaceDE/>
        <w:autoSpaceDN/>
        <w:bidi w:val="0"/>
        <w:spacing w:line="560" w:lineRule="exact"/>
        <w:ind w:left="0" w:firstLine="640"/>
        <w:textAlignment w:val="auto"/>
        <w:outlineLvl w:val="0"/>
        <w:rPr>
          <w:rFonts w:hint="default" w:ascii="Times New Roman" w:hAnsi="Times New Roman" w:eastAsia="黑体" w:cs="Times New Roman"/>
          <w:color w:val="000000" w:themeColor="text1"/>
          <w:szCs w:val="32"/>
          <w14:textFill>
            <w14:solidFill>
              <w14:schemeClr w14:val="tx1"/>
            </w14:solidFill>
          </w14:textFill>
        </w:rPr>
      </w:pPr>
      <w:bookmarkStart w:id="45" w:name="_Toc9065"/>
      <w:bookmarkStart w:id="46" w:name="_Toc23871"/>
      <w:bookmarkStart w:id="47" w:name="_Toc7114"/>
      <w:r>
        <w:rPr>
          <w:rFonts w:hint="default" w:ascii="Times New Roman" w:hAnsi="Times New Roman" w:eastAsia="黑体" w:cs="Times New Roman"/>
          <w:color w:val="000000" w:themeColor="text1"/>
          <w:szCs w:val="32"/>
          <w14:textFill>
            <w14:solidFill>
              <w14:schemeClr w14:val="tx1"/>
            </w14:solidFill>
          </w14:textFill>
        </w:rPr>
        <w:t>五、建强现代农业三大体系，提升粮食等主要农产品有效供给能力</w:t>
      </w:r>
      <w:bookmarkEnd w:id="45"/>
    </w:p>
    <w:bookmarkEnd w:id="46"/>
    <w:bookmarkEnd w:id="47"/>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bookmarkStart w:id="48" w:name="_Toc19145"/>
      <w:bookmarkStart w:id="49" w:name="_Toc30397"/>
      <w:r>
        <w:rPr>
          <w:rFonts w:hint="default" w:ascii="Times New Roman" w:hAnsi="Times New Roman" w:eastAsia="仿宋_GB2312" w:cs="Times New Roman"/>
          <w:color w:val="000000" w:themeColor="text1"/>
          <w:szCs w:val="32"/>
          <w14:textFill>
            <w14:solidFill>
              <w14:schemeClr w14:val="tx1"/>
            </w14:solidFill>
          </w14:textFill>
        </w:rPr>
        <w:t>深入实施国家粮食安全战略和重要农产品保障战略，落实藏粮于地、藏粮于技，</w:t>
      </w:r>
      <w:r>
        <w:rPr>
          <w:rFonts w:hint="default" w:ascii="Times New Roman" w:hAnsi="Times New Roman" w:eastAsia="仿宋_GB2312" w:cs="Times New Roman"/>
          <w:color w:val="000000" w:themeColor="text1"/>
          <w:szCs w:val="32"/>
          <w:lang w:val="en-US" w:eastAsia="zh-CN"/>
          <w14:textFill>
            <w14:solidFill>
              <w14:schemeClr w14:val="tx1"/>
            </w14:solidFill>
          </w14:textFill>
        </w:rPr>
        <w:t>建强现代农业生产体系、产业体系、经营体系</w:t>
      </w:r>
      <w:r>
        <w:rPr>
          <w:rFonts w:hint="default" w:ascii="Times New Roman" w:hAnsi="Times New Roman" w:eastAsia="仿宋_GB2312" w:cs="Times New Roman"/>
          <w:color w:val="000000" w:themeColor="text1"/>
          <w:szCs w:val="32"/>
          <w14:textFill>
            <w14:solidFill>
              <w14:schemeClr w14:val="tx1"/>
            </w14:solidFill>
          </w14:textFill>
        </w:rPr>
        <w:t>，构建科学合理、安全高效的重要农产品供给保障体系，夯实农业农村现代化的物质基础。</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50" w:name="_Toc13028"/>
      <w:r>
        <w:rPr>
          <w:rFonts w:hint="default" w:ascii="Times New Roman" w:hAnsi="Times New Roman" w:eastAsia="楷体_GB2312" w:cs="Times New Roman"/>
          <w:color w:val="000000" w:themeColor="text1"/>
          <w:szCs w:val="32"/>
          <w14:textFill>
            <w14:solidFill>
              <w14:schemeClr w14:val="tx1"/>
            </w14:solidFill>
          </w14:textFill>
        </w:rPr>
        <w:t>（一）提升粮食和重要农产品供给保障能力</w:t>
      </w:r>
      <w:bookmarkEnd w:id="50"/>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1.夯实粮食生产保供能力</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按照“确保谷物基本自给、口粮绝对安全”的要求，采取“长牙齿”的硬措施，落实最严格的耕地保护制度，明确耕地和永久基本农田管制目标和管制强度，严格执行“六个严禁”深入推进农村乱占耕地建房专项整治行动，坚决遏制耕地“非农化”，防止“非粮化”。健全耕地数量和质量监测监管机制，从严落实建设占用耕地占补平衡管理制度，强化耕地保护执法监督和目标考核。到2025年，确保永久基本农田保护面积不低于157.91万亩，耕地保有量稳定在181.35万亩，全市粮食总产量稳定在85万吨阶段性水平。</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2.加强黑土地保护利用</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突出抓好黑土地保护，构建黑土地保护技术体系，扎实开展黑土地保护利用试点建设，逐步在适宜区域全面推广应用保护性耕作，建设1-2个5万亩以上集中连片耕地保护和建设示范区。探索应用土壤改良、地力培肥、治理修复等综合技术模式，科学保护治理黑土地。建立并推广种养结合的循环农业模式，推广秸秆粉碎全量还田技术。</w:t>
      </w:r>
      <w:r>
        <w:rPr>
          <w:rFonts w:hint="default" w:ascii="Times New Roman" w:hAnsi="Times New Roman" w:eastAsia="仿宋_GB2312" w:cs="Times New Roman"/>
          <w:b w:val="0"/>
          <w:i w:val="0"/>
          <w:color w:val="000000" w:themeColor="text1"/>
          <w:sz w:val="32"/>
          <w14:textFill>
            <w14:solidFill>
              <w14:schemeClr w14:val="tx1"/>
            </w14:solidFill>
          </w14:textFill>
        </w:rPr>
        <w:t>到2025年，</w:t>
      </w:r>
      <w:r>
        <w:rPr>
          <w:rFonts w:hint="default" w:ascii="Times New Roman" w:hAnsi="Times New Roman" w:eastAsia="仿宋_GB2312" w:cs="Times New Roman"/>
          <w:bCs/>
          <w:color w:val="000000" w:themeColor="text1"/>
          <w:kern w:val="0"/>
          <w:szCs w:val="32"/>
          <w14:textFill>
            <w14:solidFill>
              <w14:schemeClr w14:val="tx1"/>
            </w14:solidFill>
          </w14:textFill>
        </w:rPr>
        <w:t>保护性耕作面积达到4万亩以上，耕地质量水平稳中有升。</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3.加强高标准农田建设</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highlight w:val="none"/>
          <w:lang w:eastAsia="zh-CN"/>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坚持</w:t>
      </w:r>
      <w:r>
        <w:rPr>
          <w:rFonts w:hint="default" w:ascii="Times New Roman" w:hAnsi="Times New Roman" w:eastAsia="仿宋_GB2312" w:cs="Times New Roman"/>
          <w:b w:val="0"/>
          <w:i w:val="0"/>
          <w:color w:val="000000" w:themeColor="text1"/>
          <w:sz w:val="32"/>
          <w14:textFill>
            <w14:solidFill>
              <w14:schemeClr w14:val="tx1"/>
            </w14:solidFill>
          </w14:textFill>
        </w:rPr>
        <w:t>“</w:t>
      </w:r>
      <w:r>
        <w:rPr>
          <w:rFonts w:hint="default" w:ascii="Times New Roman" w:hAnsi="Times New Roman" w:eastAsia="仿宋_GB2312" w:cs="Times New Roman"/>
          <w:bCs/>
          <w:color w:val="000000" w:themeColor="text1"/>
          <w:kern w:val="0"/>
          <w:szCs w:val="32"/>
          <w14:textFill>
            <w14:solidFill>
              <w14:schemeClr w14:val="tx1"/>
            </w14:solidFill>
          </w14:textFill>
        </w:rPr>
        <w:t>稳定播种面积、加快品种更新、调优种植结构、强化科技支撑、标准化全覆盖、提高粮食产量”的总原则，落实“藏粮于地、藏粮于技”战略，在拉法街、前进乡、</w:t>
      </w:r>
      <w:r>
        <w:rPr>
          <w:rFonts w:hint="default" w:ascii="Times New Roman" w:hAnsi="Times New Roman" w:eastAsia="仿宋_GB2312" w:cs="Times New Roman"/>
          <w:b w:val="0"/>
          <w:i w:val="0"/>
          <w:color w:val="000000" w:themeColor="text1"/>
          <w:sz w:val="32"/>
          <w14:textFill>
            <w14:solidFill>
              <w14:schemeClr w14:val="tx1"/>
            </w14:solidFill>
          </w14:textFill>
        </w:rPr>
        <w:t>新站镇、乌林乡、</w:t>
      </w:r>
      <w:r>
        <w:rPr>
          <w:rFonts w:hint="default" w:ascii="Times New Roman" w:hAnsi="Times New Roman" w:eastAsia="仿宋_GB2312" w:cs="Times New Roman"/>
          <w:bCs/>
          <w:color w:val="000000" w:themeColor="text1"/>
          <w:kern w:val="0"/>
          <w:szCs w:val="32"/>
          <w14:textFill>
            <w14:solidFill>
              <w14:schemeClr w14:val="tx1"/>
            </w14:solidFill>
          </w14:textFill>
        </w:rPr>
        <w:t>白石山镇等10个乡镇街建设高标准农田42万亩，抓好测土配方施肥及绿色高质高效技术示范推广。实施灌区配套及节水改造工程和抗旱水源工程，保障农业供水。加大农田水利设施投入，提升抗旱排涝能力，发展节水灌溉，推广喷灌、膜下滴灌等高效节水技术。在确保完成新增高标准农田建设任务的基础上，结合实际，对已建项目区进行改造提升</w:t>
      </w:r>
      <w:r>
        <w:rPr>
          <w:rFonts w:hint="default" w:ascii="Times New Roman" w:hAnsi="Times New Roman" w:eastAsia="仿宋_GB2312" w:cs="Times New Roman"/>
          <w:bCs/>
          <w:color w:val="000000" w:themeColor="text1"/>
          <w:kern w:val="0"/>
          <w:szCs w:val="32"/>
          <w:highlight w:val="none"/>
          <w14:textFill>
            <w14:solidFill>
              <w14:schemeClr w14:val="tx1"/>
            </w14:solidFill>
          </w14:textFill>
        </w:rPr>
        <w:t>。到2025年，建成高标准农田119万亩</w:t>
      </w:r>
      <w:r>
        <w:rPr>
          <w:rFonts w:hint="default" w:ascii="Times New Roman" w:hAnsi="Times New Roman" w:eastAsia="仿宋_GB2312" w:cs="Times New Roman"/>
          <w:bCs/>
          <w:color w:val="000000" w:themeColor="text1"/>
          <w:kern w:val="0"/>
          <w:szCs w:val="32"/>
          <w:highlight w:val="none"/>
          <w:lang w:eastAsia="zh-CN"/>
          <w14:textFill>
            <w14:solidFill>
              <w14:schemeClr w14:val="tx1"/>
            </w14:solidFill>
          </w14:textFill>
        </w:rPr>
        <w:t>。</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4.持续抓好“菜篮子”“肉盘子”等产品有效供给</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加强“菜篮子”工程建设，</w:t>
      </w:r>
      <w:r>
        <w:rPr>
          <w:rFonts w:hint="default" w:ascii="Times New Roman" w:hAnsi="Times New Roman" w:eastAsia="仿宋_GB2312" w:cs="Times New Roman"/>
          <w:color w:val="000000" w:themeColor="text1"/>
          <w:szCs w:val="32"/>
          <w:highlight w:val="none"/>
          <w14:textFill>
            <w14:solidFill>
              <w14:schemeClr w14:val="tx1"/>
            </w14:solidFill>
          </w14:textFill>
        </w:rPr>
        <w:t>压实“菜篮子”市长负责制，稳定现有2.5万亩露地蔬菜生产面积，稳步扩大设施园艺生产，逐步提升蔬菜供给能力。扎实推进“秸秆</w:t>
      </w:r>
      <w:r>
        <w:rPr>
          <w:rFonts w:hint="default" w:ascii="Times New Roman" w:hAnsi="Times New Roman" w:eastAsia="仿宋_GB2312" w:cs="Times New Roman"/>
          <w:color w:val="000000" w:themeColor="text1"/>
          <w:szCs w:val="32"/>
          <w14:textFill>
            <w14:solidFill>
              <w14:schemeClr w14:val="tx1"/>
            </w14:solidFill>
          </w14:textFill>
        </w:rPr>
        <w:t>变肉”工程建设，推动畜禽养殖规模扩产增量，确保肉蛋奶等重要畜禽产品生产规模。加强农产品市场流通能力建设，加快完善农产品产地、集散地、销地批发零售市场体系建设，加强农产品交易（会展）中心建设和电商等新业态发展。鼓励企业物流发展，支持第三方物流，整合供应链，提高重要农产品流通规模和效率。加快现代信息技术在农产品市场流通领域应用，鼓励市场流通主体利用大数据平台，开展在线商务与管理，支持农产品批发市场和流通企业开展线上线下一体化经营。</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51" w:name="_Toc29295"/>
      <w:r>
        <w:rPr>
          <w:rFonts w:hint="default" w:ascii="Times New Roman" w:hAnsi="Times New Roman" w:eastAsia="楷体_GB2312" w:cs="Times New Roman"/>
          <w:color w:val="000000" w:themeColor="text1"/>
          <w:szCs w:val="32"/>
          <w14:textFill>
            <w14:solidFill>
              <w14:schemeClr w14:val="tx1"/>
            </w14:solidFill>
          </w14:textFill>
        </w:rPr>
        <w:t>（二）建设精细化现代农业产业体系</w:t>
      </w:r>
      <w:bookmarkEnd w:id="51"/>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1.做强粮食产业</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优化主要粮食作物品种结构、品质结构和区域结构，大力推进标准化生产，强化玉米、水稻、大豆、杂粮有效供给，增加绿色优质农产品比重。建立高效农业示范园区、建设高标准农田，优化品种结构和生产布局、改善基础设施条件、推广增产增效技术，确保粮食稳产高产；对接主食需求，依托拉法街粘玉米园区，引导发展鲜食玉米种植。提升农业机械化水平，增加大型联合农机比重，玉米、水稻等生产实现全程农机化。开展“中国好粮油”行动。</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2.调优特色产业</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依托区域资源优势，突出特色产业发展，增加粘玉米、特色水果、三瓜、蔬菜、杂粮杂豆等</w:t>
      </w:r>
      <w:r>
        <w:rPr>
          <w:rFonts w:hint="default" w:ascii="Times New Roman" w:hAnsi="Times New Roman" w:eastAsia="仿宋_GB2312" w:cs="Times New Roman"/>
          <w:color w:val="000000" w:themeColor="text1"/>
          <w:szCs w:val="32"/>
          <w:highlight w:val="none"/>
          <w14:textFill>
            <w14:solidFill>
              <w14:schemeClr w14:val="tx1"/>
            </w14:solidFill>
          </w14:textFill>
        </w:rPr>
        <w:t>特色产业种植面积，积极发展棚膜经济，增加特色农业产业附加值，</w:t>
      </w:r>
      <w:r>
        <w:rPr>
          <w:rFonts w:hint="default" w:ascii="Times New Roman" w:hAnsi="Times New Roman" w:eastAsia="仿宋_GB2312" w:cs="Times New Roman"/>
          <w:color w:val="auto"/>
          <w:szCs w:val="32"/>
          <w:highlight w:val="none"/>
        </w:rPr>
        <w:t>打造</w:t>
      </w:r>
      <w:r>
        <w:rPr>
          <w:rFonts w:hint="default" w:ascii="Times New Roman" w:hAnsi="Times New Roman" w:eastAsia="仿宋_GB2312" w:cs="Times New Roman"/>
          <w:color w:val="auto"/>
          <w:szCs w:val="32"/>
          <w:highlight w:val="none"/>
          <w:lang w:val="en-US" w:eastAsia="zh-CN"/>
        </w:rPr>
        <w:t>优质</w:t>
      </w:r>
      <w:r>
        <w:rPr>
          <w:rFonts w:hint="default" w:ascii="Times New Roman" w:hAnsi="Times New Roman" w:eastAsia="仿宋_GB2312" w:cs="Times New Roman"/>
          <w:color w:val="auto"/>
          <w:szCs w:val="32"/>
          <w:highlight w:val="none"/>
        </w:rPr>
        <w:t>特色农产品基地</w:t>
      </w:r>
      <w:r>
        <w:rPr>
          <w:rFonts w:hint="default" w:ascii="Times New Roman" w:hAnsi="Times New Roman" w:eastAsia="仿宋_GB2312" w:cs="Times New Roman"/>
          <w:color w:val="000000" w:themeColor="text1"/>
          <w:szCs w:val="32"/>
          <w:highlight w:val="none"/>
          <w14:textFill>
            <w14:solidFill>
              <w14:schemeClr w14:val="tx1"/>
            </w14:solidFill>
          </w14:textFill>
        </w:rPr>
        <w:t>。落实农机具补贴政策，推进设施农业</w:t>
      </w:r>
      <w:r>
        <w:rPr>
          <w:rFonts w:hint="default" w:ascii="Times New Roman" w:hAnsi="Times New Roman" w:eastAsia="仿宋_GB2312" w:cs="Times New Roman"/>
          <w:color w:val="000000" w:themeColor="text1"/>
          <w:szCs w:val="32"/>
          <w14:textFill>
            <w14:solidFill>
              <w14:schemeClr w14:val="tx1"/>
            </w14:solidFill>
          </w14:textFill>
        </w:rPr>
        <w:t>机械化。依规分类保障设施园艺发展用地，依法支持发展休闲农业、乡村旅游等新产业新业态。</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3.壮大畜牧产业</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发挥畜牧业的中轴产业作用，建设承载粮食及副产物转化增值的畜牧大产业。加快建设现代化养殖基地，推动小规模养</w:t>
      </w:r>
      <w:r>
        <w:rPr>
          <w:rFonts w:hint="default" w:ascii="Times New Roman" w:hAnsi="Times New Roman" w:eastAsia="仿宋_GB2312" w:cs="Times New Roman"/>
          <w:color w:val="000000" w:themeColor="text1"/>
          <w:szCs w:val="32"/>
          <w:highlight w:val="none"/>
          <w14:textFill>
            <w14:solidFill>
              <w14:schemeClr w14:val="tx1"/>
            </w14:solidFill>
          </w14:textFill>
        </w:rPr>
        <w:t>殖户和新型农业经营主体融合发展，提高规模化养殖水平。以生猪、肉牛、肉羊“三大养殖工程”为核心，重点发展生态猪</w:t>
      </w:r>
      <w:r>
        <w:rPr>
          <w:rFonts w:hint="default" w:ascii="Times New Roman" w:hAnsi="Times New Roman" w:eastAsia="仿宋_GB2312" w:cs="Times New Roman"/>
          <w:color w:val="000000" w:themeColor="text1"/>
          <w:szCs w:val="32"/>
          <w:highlight w:val="none"/>
          <w:lang w:eastAsia="zh-CN"/>
          <w14:textFill>
            <w14:solidFill>
              <w14:schemeClr w14:val="tx1"/>
            </w14:solidFill>
          </w14:textFill>
        </w:rPr>
        <w:t>、品种羊</w:t>
      </w:r>
      <w:r>
        <w:rPr>
          <w:rFonts w:hint="default" w:ascii="Times New Roman" w:hAnsi="Times New Roman" w:eastAsia="仿宋_GB2312" w:cs="Times New Roman"/>
          <w:color w:val="000000" w:themeColor="text1"/>
          <w:szCs w:val="32"/>
          <w:highlight w:val="none"/>
          <w14:textFill>
            <w14:solidFill>
              <w14:schemeClr w14:val="tx1"/>
            </w14:solidFill>
          </w14:textFill>
        </w:rPr>
        <w:t>产业</w:t>
      </w:r>
      <w:r>
        <w:rPr>
          <w:rFonts w:hint="default" w:ascii="Times New Roman" w:hAnsi="Times New Roman" w:eastAsia="仿宋_GB2312" w:cs="Times New Roman"/>
          <w:color w:val="000000" w:themeColor="text1"/>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Cs w:val="32"/>
          <w:highlight w:val="none"/>
          <w14:textFill>
            <w14:solidFill>
              <w14:schemeClr w14:val="tx1"/>
            </w14:solidFill>
          </w14:textFill>
        </w:rPr>
        <w:t>建立</w:t>
      </w:r>
      <w:r>
        <w:rPr>
          <w:rFonts w:hint="default" w:ascii="Times New Roman" w:hAnsi="Times New Roman" w:eastAsia="仿宋_GB2312" w:cs="Times New Roman"/>
          <w:color w:val="000000" w:themeColor="text1"/>
          <w:szCs w:val="32"/>
          <w14:textFill>
            <w14:solidFill>
              <w14:schemeClr w14:val="tx1"/>
            </w14:solidFill>
          </w14:textFill>
        </w:rPr>
        <w:t>质量安全可追溯体系，实现扩大规模，统一标准，质量安全目标打造畜牧业安全区。</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4.做优绿色渔业</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从制度层面保障水产养殖发展空间，优化水产养殖生产布局，提高规模化比重。推进高标准池塘建设，改善养殖水域生态环境，推广绿色生态养殖新模式。加快发展名优特品种养殖和观赏鱼等特种养殖。积极推广稻渔综合种养，促进水产养殖业转型升级，提高养殖生产能力。支持庆岭镇开展渔家观光和开设冷水鱼垂钓等休闲娱乐项目，实现休闲渔业和冷水鱼养殖产业的有机结合，让旅游产业为冷水鱼养殖产业赋能，延长冷水鱼养殖产业链，提升庆岭活鱼知名度。</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52" w:name="_Toc1610"/>
      <w:r>
        <w:rPr>
          <w:rFonts w:hint="default" w:ascii="Times New Roman" w:hAnsi="Times New Roman" w:eastAsia="楷体_GB2312" w:cs="Times New Roman"/>
          <w:color w:val="000000" w:themeColor="text1"/>
          <w:szCs w:val="32"/>
          <w14:textFill>
            <w14:solidFill>
              <w14:schemeClr w14:val="tx1"/>
            </w14:solidFill>
          </w14:textFill>
        </w:rPr>
        <w:t>（三）建设精准化现代农业生产体系</w:t>
      </w:r>
      <w:bookmarkEnd w:id="52"/>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cs="Times New Roman"/>
          <w:b/>
          <w:bCs/>
          <w:color w:val="000000" w:themeColor="text1"/>
          <w:szCs w:val="32"/>
          <w14:textFill>
            <w14:solidFill>
              <w14:schemeClr w14:val="tx1"/>
            </w14:solidFill>
          </w14:textFill>
        </w:rPr>
        <w:t>1.大力发展现代种业</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切实强化种子这个农业的“芯片”建设，完善种业创新体系，加快建立育种资源向企业流动机制，探索企业牵头、科研支持、按比例分配权益的“产学研用”融合机制。鼓励种业企业与科研院所和高校合作共建技术研发平台，建立以市场为导向、资本为纽带、成果共享、利益共享、风险共担的种业研发创新体系。注重主粮品种选育，推进天北镇北方粳稻试验示范基地建设，筛选试验和推广一批稳产、多抗广适、品质优良的新品种。</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2.加快推进农业生产全面机械化</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统筹推进设施农业、畜牧养殖、农产品初加工等全面机械化发展，重点支持育秧、插秧、土地深松、精量播种、精准施药、高效施肥、水肥一体化、节水灌溉、农作物收割、秸秆还田离田、绿色烘干、畜禽自动饲喂与粪污资源化利用等重要环节机械化示范。加强智能农机示范应用，围绕主导特色产业，加快物联网、大数据、5G等信息技术在农机装备和农机作业上的融合应用，打造一批农艺技术先进、机具配置完整、机械化水平高的特色产业农机化技术示范园（场），引领全市特色农业全面智能机械化生产。</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3.建设绿色优质农产品原料基地</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依托五大集聚区，鼓励农产品加工企业与种业企业、</w:t>
      </w:r>
      <w:r>
        <w:rPr>
          <w:rFonts w:hint="default" w:ascii="Times New Roman" w:hAnsi="Times New Roman" w:eastAsia="仿宋_GB2312" w:cs="Times New Roman"/>
          <w:bCs/>
          <w:color w:val="000000" w:themeColor="text1"/>
          <w:kern w:val="0"/>
          <w:szCs w:val="32"/>
          <w:lang w:eastAsia="zh-CN"/>
          <w14:textFill>
            <w14:solidFill>
              <w14:schemeClr w14:val="tx1"/>
            </w14:solidFill>
          </w14:textFill>
        </w:rPr>
        <w:t>农民专业合作社</w:t>
      </w:r>
      <w:r>
        <w:rPr>
          <w:rFonts w:hint="default" w:ascii="Times New Roman" w:hAnsi="Times New Roman" w:eastAsia="仿宋_GB2312" w:cs="Times New Roman"/>
          <w:bCs/>
          <w:color w:val="000000" w:themeColor="text1"/>
          <w:kern w:val="0"/>
          <w:szCs w:val="32"/>
          <w14:textFill>
            <w14:solidFill>
              <w14:schemeClr w14:val="tx1"/>
            </w14:solidFill>
          </w14:textFill>
        </w:rPr>
        <w:t>、家庭农场、种养大户等协调合作，围绕市场需求，引导各类市场主体按照品种培优、品质提升、品牌打造和标准化生产要求合理安排生产经营，打造优质绿色安全农产品生产基地。着力创建一批绿色优质水稻、玉米、大豆、油料、果蔬、畜产品原料标准化生产基地。聚焦食品加工需求，建设一批标准化、专业化的加工专用原料供给基地。聚焦高端市场需求，建设一批绿色化、生态化的优质食品基地。</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53" w:name="_Toc15864"/>
      <w:r>
        <w:rPr>
          <w:rFonts w:hint="default" w:ascii="Times New Roman" w:hAnsi="Times New Roman" w:eastAsia="楷体_GB2312" w:cs="Times New Roman"/>
          <w:color w:val="000000" w:themeColor="text1"/>
          <w:szCs w:val="32"/>
          <w14:textFill>
            <w14:solidFill>
              <w14:schemeClr w14:val="tx1"/>
            </w14:solidFill>
          </w14:textFill>
        </w:rPr>
        <w:t>（四）建设精益化现代农业经营体系</w:t>
      </w:r>
      <w:bookmarkEnd w:id="53"/>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1.发展多种形式适度规模经营</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合理确定各地区土地规模经营的适宜标准，鼓励统一连片整理耕地，探索多种放活土地经营权的有效途径，实现多种经营方式协同发展。加快推动“粗放经营”向“集约经营”转化，积极引导农民以转包、出租、互换、转让等形式流转承包土地经营权，通过代耕代种、代育代插、联耕联种、土地托管、股份合作等方式，支持规模养殖场通过土地流转、协议合作等方式，开展“集中规模饲养+适度规模牧场+合理饲料用地”经营，推动实现土地流转型、服务带动型等多种形式的适度规模经营。创新利益联结机制。支持农户以土地经营权入股发展农业产业化经营，探索租金保底+利润分红相结合的利益分配机制，促进小农户融入现代农业发展。</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2.加强培育新型农业经营主体</w:t>
      </w:r>
    </w:p>
    <w:p>
      <w:pPr>
        <w:pageBreakBefore w:val="0"/>
        <w:pBdr>
          <w:bottom w:val="single" w:color="FFFFFF" w:sz="4" w:space="31"/>
        </w:pBdr>
        <w:tabs>
          <w:tab w:val="left" w:pos="1440"/>
        </w:tabs>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深入开展新型农业经营主体质量提升行动，抓好家庭农场、</w:t>
      </w:r>
      <w:r>
        <w:rPr>
          <w:rFonts w:hint="default" w:ascii="Times New Roman" w:hAnsi="Times New Roman" w:eastAsia="仿宋_GB2312" w:cs="Times New Roman"/>
          <w:bCs/>
          <w:color w:val="000000" w:themeColor="text1"/>
          <w:kern w:val="0"/>
          <w:szCs w:val="32"/>
          <w:lang w:eastAsia="zh-CN"/>
          <w14:textFill>
            <w14:solidFill>
              <w14:schemeClr w14:val="tx1"/>
            </w14:solidFill>
          </w14:textFill>
        </w:rPr>
        <w:t>农民专业合作社</w:t>
      </w:r>
      <w:r>
        <w:rPr>
          <w:rFonts w:hint="default" w:ascii="Times New Roman" w:hAnsi="Times New Roman" w:eastAsia="仿宋_GB2312" w:cs="Times New Roman"/>
          <w:bCs/>
          <w:color w:val="000000" w:themeColor="text1"/>
          <w:kern w:val="0"/>
          <w:szCs w:val="32"/>
          <w14:textFill>
            <w14:solidFill>
              <w14:schemeClr w14:val="tx1"/>
            </w14:solidFill>
          </w14:textFill>
        </w:rPr>
        <w:t>和农业企业等新型农业经营主体培育工作，加强新型农业经营主体领办人和骨干培训，落实国家和省市县级农民示范社四级联创行动，规范提升</w:t>
      </w:r>
      <w:r>
        <w:rPr>
          <w:rFonts w:hint="default" w:ascii="Times New Roman" w:hAnsi="Times New Roman" w:eastAsia="仿宋_GB2312" w:cs="Times New Roman"/>
          <w:bCs/>
          <w:color w:val="000000" w:themeColor="text1"/>
          <w:kern w:val="0"/>
          <w:szCs w:val="32"/>
          <w:lang w:eastAsia="zh-CN"/>
          <w14:textFill>
            <w14:solidFill>
              <w14:schemeClr w14:val="tx1"/>
            </w14:solidFill>
          </w14:textFill>
        </w:rPr>
        <w:t>农民专业合作社</w:t>
      </w:r>
      <w:r>
        <w:rPr>
          <w:rFonts w:hint="default" w:ascii="Times New Roman" w:hAnsi="Times New Roman" w:eastAsia="仿宋_GB2312" w:cs="Times New Roman"/>
          <w:bCs/>
          <w:color w:val="000000" w:themeColor="text1"/>
          <w:kern w:val="0"/>
          <w:szCs w:val="32"/>
          <w14:textFill>
            <w14:solidFill>
              <w14:schemeClr w14:val="tx1"/>
            </w14:solidFill>
          </w14:textFill>
        </w:rPr>
        <w:t>。实施家庭农场培育计划，把全县符合条件的种养大户、专业大户纳入家庭农场范围，定期开展轮训。持续开展高素质农民培训。强化新型农业经营主体监管。鼓励家庭农场使用规范的生产记录和财务收支记录，提升经营管理水平。创新家庭农场、</w:t>
      </w:r>
      <w:r>
        <w:rPr>
          <w:rFonts w:hint="default" w:ascii="Times New Roman" w:hAnsi="Times New Roman" w:eastAsia="仿宋_GB2312" w:cs="Times New Roman"/>
          <w:bCs/>
          <w:color w:val="000000" w:themeColor="text1"/>
          <w:kern w:val="0"/>
          <w:szCs w:val="32"/>
          <w:lang w:eastAsia="zh-CN"/>
          <w14:textFill>
            <w14:solidFill>
              <w14:schemeClr w14:val="tx1"/>
            </w14:solidFill>
          </w14:textFill>
        </w:rPr>
        <w:t>农民专业合作社</w:t>
      </w:r>
      <w:r>
        <w:rPr>
          <w:rFonts w:hint="default" w:ascii="Times New Roman" w:hAnsi="Times New Roman" w:eastAsia="仿宋_GB2312" w:cs="Times New Roman"/>
          <w:bCs/>
          <w:color w:val="000000" w:themeColor="text1"/>
          <w:kern w:val="0"/>
          <w:szCs w:val="32"/>
          <w14:textFill>
            <w14:solidFill>
              <w14:schemeClr w14:val="tx1"/>
            </w14:solidFill>
          </w14:textFill>
        </w:rPr>
        <w:t>等主体与农业产业化龙头企业紧密合作的商业模式，鼓励农民在生产经营领域开展多种形式的合作与联合，依法组建</w:t>
      </w:r>
      <w:r>
        <w:rPr>
          <w:rFonts w:hint="default" w:ascii="Times New Roman" w:hAnsi="Times New Roman" w:eastAsia="仿宋_GB2312" w:cs="Times New Roman"/>
          <w:bCs/>
          <w:color w:val="000000" w:themeColor="text1"/>
          <w:kern w:val="0"/>
          <w:szCs w:val="32"/>
          <w:lang w:eastAsia="zh-CN"/>
          <w14:textFill>
            <w14:solidFill>
              <w14:schemeClr w14:val="tx1"/>
            </w14:solidFill>
          </w14:textFill>
        </w:rPr>
        <w:t>农民专业合作社</w:t>
      </w:r>
      <w:r>
        <w:rPr>
          <w:rFonts w:hint="default" w:ascii="Times New Roman" w:hAnsi="Times New Roman" w:eastAsia="仿宋_GB2312" w:cs="Times New Roman"/>
          <w:bCs/>
          <w:color w:val="000000" w:themeColor="text1"/>
          <w:kern w:val="0"/>
          <w:szCs w:val="32"/>
          <w14:textFill>
            <w14:solidFill>
              <w14:schemeClr w14:val="tx1"/>
            </w14:solidFill>
          </w14:textFill>
        </w:rPr>
        <w:t>联合社，实现有机融合，提升组织化程度。加强领军型龙头企业培育，围绕优势产业，力争在产业链各关键环节培育一个以上专业化龙头企业，鼓励支持龙头企业与家庭农场、农民专业合作社组建产业化联合体，加快构建科技水平高、生产加工能力强、上中下游承接贯通的优势产业体系。鼓励各级农业产业化龙头企业采取上市融资、股份合作等形式加速发展壮大。</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color w:val="000000" w:themeColor="text1"/>
          <w:kern w:val="0"/>
          <w:szCs w:val="32"/>
          <w14:textFill>
            <w14:solidFill>
              <w14:schemeClr w14:val="tx1"/>
            </w14:solidFill>
          </w14:textFill>
        </w:rPr>
      </w:pPr>
      <w:r>
        <w:rPr>
          <w:rFonts w:hint="default" w:ascii="Times New Roman" w:hAnsi="Times New Roman" w:eastAsia="仿宋_GB2312" w:cs="Times New Roman"/>
          <w:b/>
          <w:color w:val="000000" w:themeColor="text1"/>
          <w:kern w:val="0"/>
          <w:szCs w:val="32"/>
          <w14:textFill>
            <w14:solidFill>
              <w14:schemeClr w14:val="tx1"/>
            </w14:solidFill>
          </w14:textFill>
        </w:rPr>
        <w:t>3.健全农业社会化服务体系</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Cs/>
          <w:color w:val="000000" w:themeColor="text1"/>
          <w:kern w:val="0"/>
          <w:szCs w:val="32"/>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加快培育现代化农业服务组织，鼓励发展“</w:t>
      </w:r>
      <w:r>
        <w:rPr>
          <w:rFonts w:hint="default" w:ascii="Times New Roman" w:hAnsi="Times New Roman" w:eastAsia="仿宋_GB2312" w:cs="Times New Roman"/>
          <w:bCs/>
          <w:color w:val="000000" w:themeColor="text1"/>
          <w:kern w:val="0"/>
          <w:szCs w:val="32"/>
          <w:lang w:val="en-US" w:eastAsia="zh-CN"/>
          <w14:textFill>
            <w14:solidFill>
              <w14:schemeClr w14:val="tx1"/>
            </w14:solidFill>
          </w14:textFill>
        </w:rPr>
        <w:t>新型农业经营主体</w:t>
      </w:r>
      <w:r>
        <w:rPr>
          <w:rFonts w:hint="default" w:ascii="Times New Roman" w:hAnsi="Times New Roman" w:eastAsia="仿宋_GB2312" w:cs="Times New Roman"/>
          <w:bCs/>
          <w:color w:val="000000" w:themeColor="text1"/>
          <w:kern w:val="0"/>
          <w:szCs w:val="32"/>
          <w14:textFill>
            <w14:solidFill>
              <w14:schemeClr w14:val="tx1"/>
            </w14:solidFill>
          </w14:textFill>
        </w:rPr>
        <w:t>+社会化服务”的经营方式，支持引导新型农业经营主体创办农业社会化综合服务中心，搭建各类农业生产服务平台，健全农业生产资料配送网络，引导各类主体从事农资供应、土地托管、代耕代种、统防统治、烘干收储等农业生产性服务业。适时建设农畜产品集散中心、物流配送中心和展销中心，推进玉米、肉牛等大宗农产品交易中心建设。推动电商企业与新型农业经营主体、农产品加工流通企业合作。到“十四五”末期，建成由县域农村电子商务公共服务中心、村级电子商务服务站点组成的农村电商网络。</w:t>
      </w:r>
      <w:bookmarkStart w:id="54" w:name="_Toc15647"/>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color w:val="000000" w:themeColor="text1"/>
          <w:szCs w:val="32"/>
          <w:highlight w:val="none"/>
          <w14:textFill>
            <w14:solidFill>
              <w14:schemeClr w14:val="tx1"/>
            </w14:solidFill>
          </w14:textFill>
        </w:rPr>
      </w:pPr>
      <w:r>
        <w:rPr>
          <w:rFonts w:hint="default" w:ascii="Times New Roman" w:hAnsi="Times New Roman" w:eastAsia="黑体" w:cs="Times New Roman"/>
          <w:color w:val="000000" w:themeColor="text1"/>
          <w:szCs w:val="32"/>
          <w:highlight w:val="none"/>
          <w14:textFill>
            <w14:solidFill>
              <w14:schemeClr w14:val="tx1"/>
            </w14:solidFill>
          </w14:textFill>
        </w:rPr>
        <w:t>六、加快农业现代化步伐，构建蛟河</w:t>
      </w:r>
      <w:r>
        <w:rPr>
          <w:rFonts w:hint="default" w:ascii="Times New Roman" w:hAnsi="Times New Roman" w:eastAsia="黑体" w:cs="Times New Roman"/>
          <w:color w:val="000000" w:themeColor="text1"/>
          <w:szCs w:val="32"/>
          <w:highlight w:val="none"/>
          <w:lang w:val="en-US" w:eastAsia="zh-CN"/>
          <w14:textFill>
            <w14:solidFill>
              <w14:schemeClr w14:val="tx1"/>
            </w14:solidFill>
          </w14:textFill>
        </w:rPr>
        <w:t>现代农业</w:t>
      </w:r>
      <w:r>
        <w:rPr>
          <w:rFonts w:hint="default" w:ascii="Times New Roman" w:hAnsi="Times New Roman" w:eastAsia="黑体" w:cs="Times New Roman"/>
          <w:color w:val="000000" w:themeColor="text1"/>
          <w:szCs w:val="32"/>
          <w:highlight w:val="none"/>
          <w14:textFill>
            <w14:solidFill>
              <w14:schemeClr w14:val="tx1"/>
            </w14:solidFill>
          </w14:textFill>
        </w:rPr>
        <w:t>综合竞争力</w:t>
      </w:r>
      <w:bookmarkEnd w:id="54"/>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Cs/>
          <w:color w:val="000000" w:themeColor="text1"/>
          <w:kern w:val="0"/>
          <w:szCs w:val="32"/>
          <w:lang w:eastAsia="zh-CN"/>
          <w14:textFill>
            <w14:solidFill>
              <w14:schemeClr w14:val="tx1"/>
            </w14:solidFill>
          </w14:textFill>
        </w:rPr>
      </w:pPr>
      <w:r>
        <w:rPr>
          <w:rFonts w:hint="default" w:ascii="Times New Roman" w:hAnsi="Times New Roman" w:eastAsia="仿宋_GB2312" w:cs="Times New Roman"/>
          <w:bCs/>
          <w:color w:val="000000" w:themeColor="text1"/>
          <w:kern w:val="0"/>
          <w:szCs w:val="32"/>
          <w14:textFill>
            <w14:solidFill>
              <w14:schemeClr w14:val="tx1"/>
            </w14:solidFill>
          </w14:textFill>
        </w:rPr>
        <w:t>坚持立农为农，把带动农民就业增收作为乡村产业发展的基本导向，加快农村一二三产业融合发展，把产业链主体留在县域，把就业机会和产业链增值收益留给农民</w:t>
      </w:r>
      <w:r>
        <w:rPr>
          <w:rFonts w:hint="default" w:ascii="Times New Roman" w:hAnsi="Times New Roman" w:eastAsia="仿宋_GB2312" w:cs="Times New Roman"/>
          <w:bCs/>
          <w:color w:val="000000" w:themeColor="text1"/>
          <w:kern w:val="0"/>
          <w:szCs w:val="32"/>
          <w:lang w:eastAsia="zh-CN"/>
          <w14:textFill>
            <w14:solidFill>
              <w14:schemeClr w14:val="tx1"/>
            </w14:solidFill>
          </w14:textFill>
        </w:rPr>
        <w:t>。</w:t>
      </w:r>
      <w:bookmarkStart w:id="55" w:name="_Toc3395"/>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楷体_GB2312" w:cs="Times New Roman"/>
          <w:color w:val="000000" w:themeColor="text1"/>
          <w:szCs w:val="32"/>
          <w14:textFill>
            <w14:solidFill>
              <w14:schemeClr w14:val="tx1"/>
            </w14:solidFill>
          </w14:textFill>
        </w:rPr>
      </w:pPr>
      <w:r>
        <w:rPr>
          <w:rFonts w:hint="default" w:ascii="Times New Roman" w:hAnsi="Times New Roman" w:eastAsia="楷体_GB2312" w:cs="Times New Roman"/>
          <w:color w:val="000000" w:themeColor="text1"/>
          <w:szCs w:val="32"/>
          <w14:textFill>
            <w14:solidFill>
              <w14:schemeClr w14:val="tx1"/>
            </w14:solidFill>
          </w14:textFill>
        </w:rPr>
        <w:t>（一）深入推进农村一二三产业融合</w:t>
      </w:r>
      <w:bookmarkEnd w:id="55"/>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1.做大做强发展农产品加工业</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扶持</w:t>
      </w:r>
      <w:r>
        <w:rPr>
          <w:rFonts w:hint="default" w:ascii="Times New Roman" w:hAnsi="Times New Roman" w:eastAsia="仿宋_GB2312" w:cs="Times New Roman"/>
          <w:color w:val="000000" w:themeColor="text1"/>
          <w:szCs w:val="32"/>
          <w:lang w:eastAsia="zh-CN"/>
          <w14:textFill>
            <w14:solidFill>
              <w14:schemeClr w14:val="tx1"/>
            </w14:solidFill>
          </w14:textFill>
        </w:rPr>
        <w:t>农民专业合作社</w:t>
      </w:r>
      <w:r>
        <w:rPr>
          <w:rFonts w:hint="default" w:ascii="Times New Roman" w:hAnsi="Times New Roman" w:eastAsia="仿宋_GB2312" w:cs="Times New Roman"/>
          <w:color w:val="000000" w:themeColor="text1"/>
          <w:szCs w:val="32"/>
          <w14:textFill>
            <w14:solidFill>
              <w14:schemeClr w14:val="tx1"/>
            </w14:solidFill>
          </w14:textFill>
        </w:rPr>
        <w:t>和家庭农场发展冷藏保鲜、原料处理、杀菌、储藏、分级、包装等延时类初加工，以及干制、腌制、熟制、分级分割、速冻等食品类初加工。鼓励支持黑尊食品、金亿食品、得利斯食品等农产品加工企业实施烘干设施、速冻设备和冷藏保鲜库等项目建设。引导大型农业企业、食品企业开发类别多样、营养均衡、养生保健、方便快捷的系列化产品，发展食材预处理、面制、米制、带馅、调理等主食加工，培育原料基地+中央厨房+物流配送（餐饮门店、商超销售）以及中央厨房+餐饮门店（连锁店、社区网点、终端客户）等模式，进一步延长加工链条。推进农产品加工循环、高值、梯次利用和减损增效取得实质性进展。依托五大优势产业集聚区，支持配齐原料生产、精深加工、体验展示、物流配送等设施，积极打造农产品加工产业园。到2025年，农产品加工销售收入突破35亿元。</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2.加快发展农产品流通业</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充分发挥“互联网+”农产品出村进城试点县作用，统筹现有的黄松甸木耳、天北大米、前进蓝莓等农业产业园、示范园、电子商务产业园等资源，改造建设具有集中采购和跨区域配送能力的农产品县级集配中心，作为出村进城的枢纽。统筹规划农产品物流基础设施建设，围绕黑木耳、灵芝、中药材、晒烟、洋菇娘、三瓜、棚膜蔬菜、蓝莓和山野菜等优势特色农产品主要产区，加强产地预冷、分等分级、包装仓储等基础设施建设，建设一批田间地头恒温储运和分级处理设施，加强先进农产品物流设备应用，推进冷链物流基础设施设备共享共用，重点支持冷链物流基础设施建设。持续推进黄松甸食用菌大市场升级建设，逐步将其打造成集商品展示、贸易洽谈、商品交易、仓储配送等功能于一体的大型特色专业市场。加快推进烟叶、粘玉米等农业产业交易市场建设，改造升级南山牛市，建成一批区域性标准化特色专业大市场。</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3.推进农业数字化转型。</w:t>
      </w:r>
      <w:r>
        <w:rPr>
          <w:rFonts w:hint="default" w:ascii="Times New Roman" w:hAnsi="Times New Roman" w:eastAsia="仿宋_GB2312" w:cs="Times New Roman"/>
          <w:color w:val="000000" w:themeColor="text1"/>
          <w:szCs w:val="32"/>
          <w14:textFill>
            <w14:solidFill>
              <w14:schemeClr w14:val="tx1"/>
            </w14:solidFill>
          </w14:textFill>
        </w:rPr>
        <w:t>实施数字农业建设工程，加快物联网、大数据、区块链、人工智能等现代信息技术在农业领域的应用，建设玉米、水稻等大田作物物联网技术应用示范基地，推进设施农业智能化，构建食用菌智能化生产管理模式，完善现代畜牧业信息服务体系，发展智慧渔业和智慧种业，提高农产品加工业智能化、自动化、精细化水平。加强农产品仓储保鲜冷链物流设施信息化建设。利用信息网络平台提供市场信息、农资供应、病虫害防治、农业气象等农业生产性服务。</w:t>
      </w:r>
      <w:bookmarkStart w:id="56" w:name="_Toc13179"/>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楷体_GB2312" w:cs="Times New Roman"/>
          <w:color w:val="000000" w:themeColor="text1"/>
          <w:szCs w:val="32"/>
          <w14:textFill>
            <w14:solidFill>
              <w14:schemeClr w14:val="tx1"/>
            </w14:solidFill>
          </w14:textFill>
        </w:rPr>
      </w:pPr>
      <w:r>
        <w:rPr>
          <w:rFonts w:hint="default" w:ascii="Times New Roman" w:hAnsi="Times New Roman" w:eastAsia="楷体_GB2312" w:cs="Times New Roman"/>
          <w:color w:val="000000" w:themeColor="text1"/>
          <w:szCs w:val="32"/>
          <w14:textFill>
            <w14:solidFill>
              <w14:schemeClr w14:val="tx1"/>
            </w14:solidFill>
          </w14:textFill>
        </w:rPr>
        <w:t>（二）做活做新农村电商</w:t>
      </w:r>
      <w:bookmarkEnd w:id="56"/>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2" w:firstLineChars="200"/>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1.优化农村电商发展环境</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依托农产品电商百强县基础，利用5G、云计算、物联网、区块链等技术，加快网络体系、前端仓库和物流设施建设，把现代信息技术引入农业产加销各个环节，建立县域农产品大数据，培育农村电商实体及网络直播等业态。引导平台企业、物流、商贸、金融、供销、邮政、快递等各类主体到乡村布局，完善农村商贸服务体系。</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2" w:firstLineChars="200"/>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2.培育新农村电商主体</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依托益农信息社、农村综合服务社、村邮站、快递网点、农产品购销代办站、农家店等经营主体发展电商末端服务网点。依托信息进村入户运营商、优质电商直播平台、直播机构和经纪公司，发展直播卖货、助农直播间、移动菜篮子等，培育农民直播销售员。依托蛟河新区电子商务产业园，加快资源整合，实现技术、资源、人才共享，物流、信息传递效率提升，助推电商企业迅速发展壮大。</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2" w:firstLineChars="200"/>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3.建立电商运营服务体系</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提升电商服务功能，充分利用乡村网络站点优势，以低成本、简便易行的方式，与全市仓储物流节点有效衔接，构建网销服务体系。继续推进全市258个益农信息社日常运营管理，将益农信息社打造成为农服务的一站式窗口。培育网络新零售，支持经营主体在大型电商平台开设旗舰店，培育零售电商、批发电商、分销电商以及社交电商、直播电商等新模式，形成多样化多层次的全网营销体系。注重线下渠道维护，与休闲体验相结合，建设优质特色农产品直营店、体验区，用网络营销带来的知名度促进线下销售。实施“数商兴农”，打造蛟河农产品网络品牌，支持运营主体带动农户统一标准、统一生产、统一采购、统一品牌、统一销售，构建基于互联网的供应链管理模式，形成协同高效、利益共享的优质特色农产品供应链体系。</w:t>
      </w:r>
      <w:bookmarkStart w:id="57" w:name="_Toc16021"/>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楷体_GB2312" w:cs="Times New Roman"/>
          <w:color w:val="000000" w:themeColor="text1"/>
          <w:szCs w:val="32"/>
          <w14:textFill>
            <w14:solidFill>
              <w14:schemeClr w14:val="tx1"/>
            </w14:solidFill>
          </w14:textFill>
        </w:rPr>
      </w:pPr>
      <w:r>
        <w:rPr>
          <w:rFonts w:hint="default" w:ascii="Times New Roman" w:hAnsi="Times New Roman" w:eastAsia="楷体_GB2312" w:cs="Times New Roman"/>
          <w:color w:val="000000" w:themeColor="text1"/>
          <w:szCs w:val="32"/>
          <w14:textFill>
            <w14:solidFill>
              <w14:schemeClr w14:val="tx1"/>
            </w14:solidFill>
          </w14:textFill>
        </w:rPr>
        <w:t>（三）大力发展休闲农业和乡村旅游业</w:t>
      </w:r>
      <w:bookmarkEnd w:id="57"/>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2" w:firstLineChars="200"/>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1.挖掘蛟河特色乡村文化</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加强对蛟河农业农村发展过程中的历史文献资料、民间轶事的开发利用，深度挖掘蛟河农特产品品牌价值和文化，提炼产品背后蕴含的难以模仿的文化属性和特殊符号，打造“蛟河绿色优质农产品”独特文化形象，编辑出版系列宣传册、图册及系列丛书。鼓励企业事业组织、社会团体、其他社会组织及公民个人</w:t>
      </w:r>
      <w:r>
        <w:rPr>
          <w:rFonts w:hint="default" w:ascii="Times New Roman" w:hAnsi="Times New Roman" w:eastAsia="仿宋_GB2312" w:cs="Times New Roman"/>
          <w:b w:val="0"/>
          <w:i w:val="0"/>
          <w:color w:val="000000" w:themeColor="text1"/>
          <w:sz w:val="32"/>
          <w14:textFill>
            <w14:solidFill>
              <w14:schemeClr w14:val="tx1"/>
            </w14:solidFill>
          </w14:textFill>
        </w:rPr>
        <w:t>创造</w:t>
      </w:r>
      <w:r>
        <w:rPr>
          <w:rFonts w:hint="default" w:ascii="Times New Roman" w:hAnsi="Times New Roman" w:eastAsia="仿宋_GB2312" w:cs="Times New Roman"/>
          <w:color w:val="000000" w:themeColor="text1"/>
          <w:szCs w:val="32"/>
          <w14:textFill>
            <w14:solidFill>
              <w14:schemeClr w14:val="tx1"/>
            </w14:solidFill>
          </w14:textFill>
        </w:rPr>
        <w:t>蛟河绿色优质农产品文化内涵，通过动漫、演艺、影视和文学作品等多种形式展现蛟河农产品绿色、优质特点，增强蛟河农产品影响力；推进开发一批具有影响力的蛟河绿色优质农产品物质产品和精神产品，加快打造具有较强市场竞争力的蛟河绿色优质农产品文化产业。</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2" w:firstLineChars="200"/>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2.加强发展乡村休闲体验产品</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依托“关东奇山”拉法山、“森林浴场”庆岭、“秋天童话”红叶谷、“关东九寨”冰湖沟、“小长白山”老爷岭、“山水画廊”松花湖等自然景观，围绕多功能拓展、多业态聚集、多场景应用，开发乡宿、乡游、乡食、乡购、乡娱等综合体验项目，休闲农业与农业生产、农产品加工、互联网、康养等产业融合起来，建立设施完备、功能多样的高质量的休闲农业园区。结合农业资源保护利用、农村生态文明建设、农耕文化传承和节能减排固碳，发展生态观光、农事体验、户外拓展、自驾旅居等业态，深度打造富江花海、插树岭农家乐、新站六家子、窝集口采摘、华兰德酒庄等具有旅游开发潜质的区域，加快培育一批乡村旅游和休闲农业特色村。积极争取休闲农业重点县建设。优先发展培育休闲农业与乡村旅游星级企业，挖掘森林人家、林间漫道、健康氧吧、温泉水疗、水上漂流、星空露营等产品，打造一批循环农业、生态农牧、稻渔共生等生态样板，建设一批学农劳动、研学实践、科普教育等实训基地，创设一批农事生产、节气物候、自然课堂、健康养生等科普教程。</w:t>
      </w:r>
    </w:p>
    <w:p>
      <w:pPr>
        <w:keepNext w:val="0"/>
        <w:keepLines w:val="0"/>
        <w:pageBreakBefore w:val="0"/>
        <w:widowControl w:val="0"/>
        <w:pBdr>
          <w:bottom w:val="single" w:color="FFFFFF" w:sz="4" w:space="31"/>
        </w:pBdr>
        <w:tabs>
          <w:tab w:val="left" w:pos="1440"/>
        </w:tabs>
        <w:kinsoku/>
        <w:wordWrap/>
        <w:overflowPunct/>
        <w:topLinePunct w:val="0"/>
        <w:autoSpaceDE/>
        <w:autoSpaceDN/>
        <w:bidi w:val="0"/>
        <w:adjustRightInd/>
        <w:snapToGrid/>
        <w:spacing w:line="560" w:lineRule="exact"/>
        <w:ind w:firstLine="562" w:firstLineChars="200"/>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3.提高乡村旅游服务水平</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围绕森林生态游、休闲度假游、生活体验游、农业观光游、历史文化游、白色冰雪游、健康养生游等蛟河乡村旅游线路，以“绣花”功夫抓好乡村环境治理，以“标兵”姿态抓实乡村生活垃圾分类，以“园丁”精神抓好美丽庭院、美丽田园、美丽山水建设，改善餐饮、住宿、停车、厕所等设施条件，因地制宜加快推进农村生活污水治理。</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58" w:name="_Toc7923"/>
      <w:r>
        <w:rPr>
          <w:rFonts w:hint="default" w:ascii="Times New Roman" w:hAnsi="Times New Roman" w:eastAsia="楷体_GB2312" w:cs="Times New Roman"/>
          <w:color w:val="000000" w:themeColor="text1"/>
          <w:szCs w:val="32"/>
          <w14:textFill>
            <w14:solidFill>
              <w14:schemeClr w14:val="tx1"/>
            </w14:solidFill>
          </w14:textFill>
        </w:rPr>
        <w:t>（四）着力打造蛟河特色农产品品牌</w:t>
      </w:r>
      <w:bookmarkEnd w:id="58"/>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1.建立“蛟字号”农产品品牌科技支撑体系</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优先解决好优质品牌的品种问题，开展种源“卡脖子”技术攻关，提高优质品种创新能力，切实保持黄松甸黑木耳、前进蓝莓、天北大米、蛟河粘玉米、天岗苹果、蛟河黄牛等蛟河特色品种的竞争优势，夯实优质农产品品牌建设基础。鼓励企业建设技术创新平台，增强企业创新能力，每年支持一批重大技术创新项目，开发一批新技术、新工艺、新产品，提高品牌技术含量，提升品牌价值。</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2.健全“蛟字号”农产品品牌标准规范体系</w:t>
      </w:r>
    </w:p>
    <w:p>
      <w:pPr>
        <w:pStyle w:val="11"/>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实施标准提升工程，以黄松甸黑木耳、前进蓝莓、天北大米、蛟河粘玉米、天岗苹果、蛟河黄牛等蛟河特色品种为重点，加快制定、修订可操作性强的农业生产技术规范和操作规程等</w:t>
      </w:r>
      <w:r>
        <w:rPr>
          <w:rFonts w:hint="default" w:ascii="Times New Roman" w:hAnsi="Times New Roman" w:eastAsia="仿宋_GB2312" w:cs="Times New Roman"/>
          <w:b w:val="0"/>
          <w:i w:val="0"/>
          <w:color w:val="000000" w:themeColor="text1"/>
          <w:sz w:val="32"/>
          <w14:textFill>
            <w14:solidFill>
              <w14:schemeClr w14:val="tx1"/>
            </w14:solidFill>
          </w14:textFill>
        </w:rPr>
        <w:t>系列</w:t>
      </w:r>
      <w:r>
        <w:rPr>
          <w:rFonts w:hint="default" w:ascii="Times New Roman" w:hAnsi="Times New Roman" w:eastAsia="仿宋_GB2312" w:cs="Times New Roman"/>
          <w:color w:val="000000" w:themeColor="text1"/>
          <w:szCs w:val="32"/>
          <w14:textFill>
            <w14:solidFill>
              <w14:schemeClr w14:val="tx1"/>
            </w14:solidFill>
          </w14:textFill>
        </w:rPr>
        <w:t>地方标准</w:t>
      </w:r>
      <w:r>
        <w:rPr>
          <w:rFonts w:hint="default" w:ascii="Times New Roman" w:hAnsi="Times New Roman" w:eastAsia="仿宋_GB2312" w:cs="Times New Roman"/>
          <w:b w:val="0"/>
          <w:i w:val="0"/>
          <w:color w:val="000000" w:themeColor="text1"/>
          <w:sz w:val="32"/>
          <w14:textFill>
            <w14:solidFill>
              <w14:schemeClr w14:val="tx1"/>
            </w14:solidFill>
          </w14:textFill>
        </w:rPr>
        <w:t>、团体标准和企业标准</w:t>
      </w:r>
      <w:r>
        <w:rPr>
          <w:rFonts w:hint="default" w:ascii="Times New Roman" w:hAnsi="Times New Roman" w:eastAsia="仿宋_GB2312" w:cs="Times New Roman"/>
          <w:color w:val="000000" w:themeColor="text1"/>
          <w:szCs w:val="32"/>
          <w14:textFill>
            <w14:solidFill>
              <w14:schemeClr w14:val="tx1"/>
            </w14:solidFill>
          </w14:textFill>
        </w:rPr>
        <w:t>，逐步建立覆盖生产环境、生产过程、产品品质、加工包装全产业链，既符合我市实际又与国际标准接轨的农业标准体系。推进绿色原料标准化生产基地和绿色安全优质农产品标准化基地创建，实现品牌农产品质量标准体系全覆盖，确保农业生产经营有章可循、有标可依。</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3.打造“蛟字号”农产品品牌质量安全追溯体系</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结合“互联网+”农产品出村进城工程建设，搭建蛟河市农产品质量安全监管追溯平台，内容涵盖农产品质量安全信息管理、农产品生产过程追溯监控、农业投入品监管、农产品质量检测监管等功能，构建起从生产到销售全程可追溯的监管体系，建立品牌诚信奖惩机制，严格把控“蛟字号”农产品质量。</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4.建立“蛟字号”农产品品牌运营推广体系</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重点打造“黄松甸黑木耳、黄松甸灵芝、蛟河粘玉米、前进蓝莓、白石山‘三瓜’、白石山洋菇娘、漂河晒烟、天岗苹果、天北黑牦牛、天北大米”等“蛟字号”区域公用品牌，推动“前进蓝莓”、“蛟河粘玉米”争创地理标志证明商标。通过在政府官网设立蛟河绿色优质农产品宣传专栏、拍摄宣传片、召开发布会、参加国内外展销会、冠名长吉高铁、目标城区地铁（公交）广告等多种形式宣传蛟河绿色优质农产品品牌。围绕“蛟河绿色优质农产品”建立包括电商平台、官方微博、微信公众号、头条号、抖音号等多渠道营销体系，构建蛟河绿色优质农产品宣传推广的独立发声通道。“十四五”期间，再培育</w:t>
      </w:r>
      <w:r>
        <w:rPr>
          <w:rFonts w:hint="default" w:ascii="Times New Roman" w:hAnsi="Times New Roman" w:eastAsia="仿宋_GB2312" w:cs="Times New Roman"/>
          <w:color w:val="000000" w:themeColor="text1"/>
          <w:szCs w:val="32"/>
          <w:lang w:val="en-US" w:eastAsia="zh-CN"/>
          <w14:textFill>
            <w14:solidFill>
              <w14:schemeClr w14:val="tx1"/>
            </w14:solidFill>
          </w14:textFill>
        </w:rPr>
        <w:t>区域</w:t>
      </w:r>
      <w:r>
        <w:rPr>
          <w:rFonts w:hint="default" w:ascii="Times New Roman" w:hAnsi="Times New Roman" w:eastAsia="仿宋_GB2312" w:cs="Times New Roman"/>
          <w:color w:val="000000" w:themeColor="text1"/>
          <w:szCs w:val="32"/>
          <w14:textFill>
            <w14:solidFill>
              <w14:schemeClr w14:val="tx1"/>
            </w14:solidFill>
          </w14:textFill>
        </w:rPr>
        <w:t>农产品品牌3个。</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5.优化“蛟字号”农产品品牌支撑保护体系</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深入开展打击侵犯知识产权和制售假冒伪劣商品的违法活动，依法打击偷工减料、价格恶性竞争、虚假宣传、恶意诋毁、傍名牌等各类不正当竞争行为。建立黑名单制度，提高失信成本，增强生产者、经营者、消费者重视品牌、培育品牌、保护品牌的意识。</w:t>
      </w:r>
    </w:p>
    <w:p>
      <w:pPr>
        <w:keepNext/>
        <w:keepLines/>
        <w:pageBreakBefore w:val="0"/>
        <w:kinsoku/>
        <w:wordWrap/>
        <w:overflowPunct/>
        <w:topLinePunct w:val="0"/>
        <w:autoSpaceDE/>
        <w:autoSpaceDN/>
        <w:bidi w:val="0"/>
        <w:spacing w:line="560" w:lineRule="exact"/>
        <w:ind w:left="0" w:firstLine="640"/>
        <w:textAlignment w:val="auto"/>
        <w:outlineLvl w:val="0"/>
        <w:rPr>
          <w:rFonts w:hint="default" w:ascii="Times New Roman" w:hAnsi="Times New Roman" w:eastAsia="黑体" w:cs="Times New Roman"/>
          <w:color w:val="000000" w:themeColor="text1"/>
          <w:kern w:val="44"/>
          <w14:textFill>
            <w14:solidFill>
              <w14:schemeClr w14:val="tx1"/>
            </w14:solidFill>
          </w14:textFill>
        </w:rPr>
      </w:pPr>
      <w:bookmarkStart w:id="59" w:name="_Toc9925"/>
      <w:bookmarkStart w:id="60" w:name="_Toc18443"/>
      <w:r>
        <w:rPr>
          <w:rFonts w:hint="default" w:ascii="Times New Roman" w:hAnsi="Times New Roman" w:eastAsia="黑体" w:cs="Times New Roman"/>
          <w:color w:val="000000" w:themeColor="text1"/>
          <w:kern w:val="44"/>
          <w14:textFill>
            <w14:solidFill>
              <w14:schemeClr w14:val="tx1"/>
            </w14:solidFill>
          </w14:textFill>
        </w:rPr>
        <w:t>七、巩固拓展脱贫攻坚成果，实现同乡村振兴有效衔接</w:t>
      </w:r>
      <w:bookmarkEnd w:id="59"/>
      <w:bookmarkEnd w:id="60"/>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全面转入乡村振兴后，防止脱贫人口返贫的任务还很重，必须巩固拓展脱贫攻坚成果，实现同乡村振兴有效衔接、平稳过渡，确保工作不出空档、政策不留空白，坚决防止发生规模性返贫现象。</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61" w:name="_Toc17238"/>
      <w:bookmarkStart w:id="62" w:name="_Toc16540"/>
      <w:r>
        <w:rPr>
          <w:rFonts w:hint="default" w:ascii="Times New Roman" w:hAnsi="Times New Roman" w:eastAsia="楷体_GB2312" w:cs="Times New Roman"/>
          <w:color w:val="000000" w:themeColor="text1"/>
          <w:szCs w:val="32"/>
          <w14:textFill>
            <w14:solidFill>
              <w14:schemeClr w14:val="tx1"/>
            </w14:solidFill>
          </w14:textFill>
        </w:rPr>
        <w:t>（一）建立健全巩固拓展脱贫攻坚成果长效机制</w:t>
      </w:r>
      <w:bookmarkEnd w:id="61"/>
      <w:bookmarkEnd w:id="62"/>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1.保持主要帮扶政策总体稳定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过渡期内，要坚决守住脱贫攻坚成果，做好巩固拓展脱贫攻坚成果同乡村振兴有效衔接，确保工作不留空档、政策不留空白。严格落实“四个不摘”要求，压实</w:t>
      </w:r>
      <w:r>
        <w:rPr>
          <w:rFonts w:hint="default" w:ascii="Times New Roman" w:hAnsi="Times New Roman" w:eastAsia="仿宋_GB2312" w:cs="Times New Roman"/>
          <w:color w:val="000000" w:themeColor="text1"/>
          <w:szCs w:val="32"/>
          <w:lang w:val="en-US" w:eastAsia="zh-CN"/>
          <w14:textFill>
            <w14:solidFill>
              <w14:schemeClr w14:val="tx1"/>
            </w14:solidFill>
          </w14:textFill>
        </w:rPr>
        <w:t>三</w:t>
      </w:r>
      <w:r>
        <w:rPr>
          <w:rFonts w:hint="default" w:ascii="Times New Roman" w:hAnsi="Times New Roman" w:eastAsia="仿宋_GB2312" w:cs="Times New Roman"/>
          <w:color w:val="000000" w:themeColor="text1"/>
          <w:szCs w:val="32"/>
          <w14:textFill>
            <w14:solidFill>
              <w14:schemeClr w14:val="tx1"/>
            </w14:solidFill>
          </w14:textFill>
        </w:rPr>
        <w:t>级书记抓</w:t>
      </w:r>
      <w:r>
        <w:rPr>
          <w:rFonts w:hint="default" w:ascii="Times New Roman" w:hAnsi="Times New Roman" w:eastAsia="仿宋_GB2312" w:cs="Times New Roman"/>
          <w:color w:val="000000" w:themeColor="text1"/>
          <w:szCs w:val="32"/>
          <w:lang w:val="en-US" w:eastAsia="zh-CN"/>
          <w14:textFill>
            <w14:solidFill>
              <w14:schemeClr w14:val="tx1"/>
            </w14:solidFill>
          </w14:textFill>
        </w:rPr>
        <w:t>巩固脱贫攻坚成果同乡村振兴有效衔接责任</w:t>
      </w:r>
      <w:r>
        <w:rPr>
          <w:rFonts w:hint="default" w:ascii="Times New Roman" w:hAnsi="Times New Roman" w:eastAsia="仿宋_GB2312" w:cs="Times New Roman"/>
          <w:color w:val="000000" w:themeColor="text1"/>
          <w:szCs w:val="32"/>
          <w14:textFill>
            <w14:solidFill>
              <w14:schemeClr w14:val="tx1"/>
            </w14:solidFill>
          </w14:textFill>
        </w:rPr>
        <w:t>，对25个已退出的贫困村，稳定和继续执行现有帮扶政策和驻村帮扶力量，防止一撤了之。切实加强资金监管、成效监管、作风监管，防止贫困反弹。继续稳定低保、特困供养等兜底救助类政策，优化产业、就业等发展类政策，落实好教育、医疗、住房、饮水等民生保障普惠性政策，并根据脱贫人口实际困难给予适度倾斜。</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2.健全防止返贫动态监测和帮扶机制</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sz w:val="32"/>
          <w:szCs w:val="32"/>
          <w:highlight w:val="none"/>
        </w:rPr>
        <w:t>对脱贫不稳定户、边缘易致贫户，以及因病因灾因意外事故等刚性支出较大或收入大幅缩减导致基本生活出现严重困难户，实施动态管理，重点监测其收入支出、“两不愁三保障”及饮水安全状况，坚决防止发生规模性返贫现象</w:t>
      </w:r>
      <w:r>
        <w:rPr>
          <w:rFonts w:hint="default" w:ascii="Times New Roman" w:hAnsi="Times New Roman" w:eastAsia="仿宋_GB2312" w:cs="Times New Roman"/>
          <w:color w:val="000000" w:themeColor="text1"/>
          <w:szCs w:val="32"/>
          <w14:textFill>
            <w14:solidFill>
              <w14:schemeClr w14:val="tx1"/>
            </w14:solidFill>
          </w14:textFill>
        </w:rPr>
        <w:t>。加强相关部门数据共享和对接，充分利用先进技术手段提升监测准确性；</w:t>
      </w:r>
      <w:r>
        <w:rPr>
          <w:rFonts w:hint="default" w:ascii="Times New Roman" w:hAnsi="Times New Roman" w:eastAsia="仿宋_GB2312" w:cs="Times New Roman"/>
          <w:color w:val="000000"/>
          <w:sz w:val="32"/>
          <w:szCs w:val="32"/>
          <w:highlight w:val="none"/>
        </w:rPr>
        <w:t>进一步完善基础数据库，提升信息精准性。建立健全农村防返贫监测对象快速发现和响应机制，通过农户主动申请、乡村干部走访排查、相关行业部门筛查、大数据比对等途径，加强防返贫监测对象的及时发现和动态核查。</w:t>
      </w:r>
      <w:r>
        <w:rPr>
          <w:rFonts w:hint="default" w:ascii="Times New Roman" w:hAnsi="Times New Roman" w:eastAsia="仿宋_GB2312" w:cs="Times New Roman"/>
          <w:color w:val="000000" w:themeColor="text1"/>
          <w:szCs w:val="32"/>
          <w14:textFill>
            <w14:solidFill>
              <w14:schemeClr w14:val="tx1"/>
            </w14:solidFill>
          </w14:textFill>
        </w:rPr>
        <w:t>采取预防性和事后帮扶相结合措施，分层分类及时将监测对象纳入帮扶政策范围，对有劳动能力的，坚持开发式帮扶方针，强化产业、就业等帮扶；对无劳动能力的，强化兜底保障，确保基本生活不出问题；遭遇重大自然灾害或家庭重大变故的，实行“一事一议”，形成工作闭环，确保动态清零。</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3.巩固“两不愁三保障”成果</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持续做好控辍保学核查比对、跟踪帮扶等工作，确保除身体原因不具备学习条件外脱贫家庭义务教育阶段适龄儿童少年不失学辍学。落实分类资助参保政策，动员、引导脱贫人口持续参加基本医疗保险，有效防范因病返贫致贫风险。建立农村脱贫人口住房安全动态监测机制，探索设立脱贫户住房安全保障专项基金，强化日常管护、动态监测和预警处置，通过农村危房改造等多种方式保障低收入人口基本住房安全。</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4.做好易地扶贫搬迁后续扶持工作</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从就业需要、产业发展和后续配套设施建设提升完善等方面加大扶持力度，完善后续扶持政策体系，持续巩固易地搬迁脱贫成果，确保搬迁群众稳得住、有就业、逐步能致富。深入开展就业专项帮扶，确保有劳动力的搬迁家庭都有人就业。鼓励引导劳动密集型企业到安置区附近建厂，推动政府投资、以工代赈、公共管理服务项目定向吸纳搬迁群众，开发公益性岗位兜底安置就业困难搬迁人员。坚持“短中长”结合，统筹发展特色种养加、生态林果、休闲旅游等产业。全面落实属地化管理，加快完善一体化、均等化的配套基础设施和公共服务体系，促进新老居民融合交往、共建美好家园。</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63" w:name="_Toc17418"/>
      <w:bookmarkStart w:id="64" w:name="_Toc25859"/>
      <w:r>
        <w:rPr>
          <w:rFonts w:hint="default" w:ascii="Times New Roman" w:hAnsi="Times New Roman" w:eastAsia="楷体_GB2312" w:cs="Times New Roman"/>
          <w:color w:val="000000" w:themeColor="text1"/>
          <w:szCs w:val="32"/>
          <w14:textFill>
            <w14:solidFill>
              <w14:schemeClr w14:val="tx1"/>
            </w14:solidFill>
          </w14:textFill>
        </w:rPr>
        <w:t>（二）健全农村低收入人口常态化帮扶机制</w:t>
      </w:r>
      <w:bookmarkEnd w:id="63"/>
      <w:bookmarkEnd w:id="64"/>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1.加强农村低收入人口监测</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把农村低保对象、农村特困人员、农村易返贫致贫人口，以及因病因灾因意外事故等刚性支出较大或收入大幅缩减导致基本生活出现严重困难人口等农村低收入人口，全部纳入监测范围，并实行定期核查和动态调整。以现有社会保障体系为基础，充分利用民政、扶贫、教育、人力资源社会保障、住房城乡建设、医疗保障等政府部门现有数据平台，加强数据比对和信息共享。完善基层主动发现机制，形成多部门联动的风险预警、研判和处置合力，实现对农村低收入人口风险点的早发现、早干预、早帮扶、早消除。</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2.分层分类实施社会救助</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完善最低生活保障制度，科学认定农村低保对象，提高政策精准性。继续加强城乡困难群众基本生活保障，将低收入家庭中重病患者、重度残疾人按照“单人户”纳入低保范围。落实农村低保渐退和支出核减政策，并实行年度动态管理。合理提高救助供养水平和服务质量，确保特困供养人员基本生活标准不低于当地上年度低保标准的1.3倍。加强社会救助资源统筹，根据对象类型、困难程度等，有针对性地及时给予困难群众医疗、教育、住房、就业等分类分层专项救助，做到精准识别、应救尽救。对基本生活陷入暂时困难的群众，加强临时救助，在乡镇（街道）建立备用金制度，做到凡困必帮、有难必救。加强困难残疾人家庭走访探视，鼓励通过政府购买服务对社会救助家庭中生活不能自理的老年人、未成年人、残疾人等提供必要的访视、照料服务。</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3.合理确定农村医疗保障待遇水平</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坚持基本标准，统筹发挥基本医疗保险、大病保险、医疗救助三重保障制度综合梯次减负功能。继续全额资助农村特困人员，定额资助低保对象，过渡期内逐步调整脱贫人口资助政策。在逐步提高大病保障水平基础上，大病保险继续对低保对象、特困人员和返贫致贫人口进行倾斜支付。进一步夯实医疗救助托底保障，统筹提高年度救助限额，合理控制救助对象政策范围内自付费用比例。分阶段、分对象、分类别调整脱贫攻坚期超常规保障措施。对三重保障制度综合减负后个人负担医疗费用仍有困难的脱贫人口，延续脱贫攻坚期内形成的“一事一议”机制。探索通过商业健康保险，实现对脱贫人口目录外医疗费用保障待遇的过渡衔接。</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4.完善养老保障和儿童关爱服务</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highlight w:val="none"/>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适度提高城乡居民基本养老保险待遇水平，参加城乡居民养老保险的低保对象、特困人员、返贫致贫人口、重度残疾人、脱贫人口等缴费困难群体，按规定代缴基本养老保险费。强化养老机构对失能、部分失能特困老年人口的兜底保障，建立收住特困失能人员县级供养服务设施。加大对孤儿、事实无人抚养儿童等保障力度，不断提升关爱服务能力和水平。加强残疾人照护和托养服务，落实残疾儿童康复救助制度，实施精准康复服务行动，</w:t>
      </w:r>
      <w:r>
        <w:rPr>
          <w:rFonts w:hint="default" w:ascii="Times New Roman" w:hAnsi="Times New Roman" w:eastAsia="仿宋_GB2312" w:cs="Times New Roman"/>
          <w:color w:val="000000" w:themeColor="text1"/>
          <w:szCs w:val="32"/>
          <w:highlight w:val="none"/>
          <w14:textFill>
            <w14:solidFill>
              <w14:schemeClr w14:val="tx1"/>
            </w14:solidFill>
          </w14:textFill>
        </w:rPr>
        <w:t>基本满足残疾人基本康复服务需求。</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5.织密兜牢丧失劳动能力人口基本生活保障底线</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对脱贫人口中完全丧失劳动能力或部分丧失劳动能力且无法通过产业就业获得稳定收入的人口，按规定纳入农村低保或特困人员救助供养范围，稳定提高救助水平，按困难类型及时给予专项救助、临时救助等，保障基本生活，做到应保尽保、应兜尽兜。</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65" w:name="_Toc26698"/>
      <w:bookmarkStart w:id="66" w:name="_Toc22606"/>
      <w:r>
        <w:rPr>
          <w:rFonts w:hint="default" w:ascii="Times New Roman" w:hAnsi="Times New Roman" w:eastAsia="楷体_GB2312" w:cs="Times New Roman"/>
          <w:color w:val="000000" w:themeColor="text1"/>
          <w:szCs w:val="32"/>
          <w14:textFill>
            <w14:solidFill>
              <w14:schemeClr w14:val="tx1"/>
            </w14:solidFill>
          </w14:textFill>
        </w:rPr>
        <w:t>（三）加强脱贫攻坚与乡村振兴有效衔接</w:t>
      </w:r>
      <w:bookmarkEnd w:id="65"/>
      <w:bookmarkEnd w:id="66"/>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1.着力培育乡村扶贫产业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强化产业就业带动和综合保障兜底“两端发力”，严格执行《蛟河市扶贫产业项目收益资金使用管理办法》，实现产业扶贫项目稳定带户增收。积极开展就业扶贫、消费扶贫，持续实施“五星创建”“爱心超市”等扶志（智）载体活动。发展乡村特色产业，实施特色种养业提升行动，强化全产业链支持措施，推动农村一二三产业融合发展、加快新产业新业态培育，提升并推动现有扶贫产业融入当地乡村特色产业总体布局，补上技术、设施、营销短板，促进产业提档升级。加强帮扶项目资产监管，完善利益联结机制，提升产业带动增收效果，带动脱贫户稳定增收、逐步致富。</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2.持续促进脱贫人口稳定就业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加强职业技能培训，精准对接市场需求，根据脱贫劳动力就业愿望和培训意愿开展培训，增强脱贫人口稳定就业能力。推进发展劳务经纪人，深化与劳务输入地区合作，推动就业意愿、就业技能与就业岗位精准对接，扩大有组织劳务输出规模，切实稳定脱贫劳动力外出就业。积极拓宽就地就近就业渠道，延续扶贫车间扶持政策，强化返乡创业基地和相关就业载体建设，加快发展劳动密集型产业和创新创业，促进返乡在乡脱贫劳动力就业。扩大以工代赈项目实施范围，在农村人居环境、小型水利、乡村道路、农田整治、水土保持、产业园区、林业草原基础设施等涉农项目建设和管护中，广泛采取以工代赈方式，促进农村劳动力就业增收。以保洁保绿、治安协管、道路管护、孤寡老人和留守儿童看护等非全日制工作岗位为重点，以无法离乡、无业可就的困难人员为安置对象，统筹开发乡村公益岗位；完善岗位管理机制，实现按需设岗、以岗聘任、在岗领补、有序退岗。</w:t>
      </w:r>
    </w:p>
    <w:p>
      <w:pPr>
        <w:keepNext/>
        <w:keepLines/>
        <w:pageBreakBefore w:val="0"/>
        <w:kinsoku/>
        <w:wordWrap/>
        <w:overflowPunct/>
        <w:topLinePunct w:val="0"/>
        <w:autoSpaceDE/>
        <w:autoSpaceDN/>
        <w:bidi w:val="0"/>
        <w:spacing w:line="560" w:lineRule="exact"/>
        <w:ind w:left="0" w:firstLine="640"/>
        <w:textAlignment w:val="auto"/>
        <w:outlineLvl w:val="0"/>
        <w:rPr>
          <w:rFonts w:hint="default" w:ascii="Times New Roman" w:hAnsi="Times New Roman" w:eastAsia="黑体" w:cs="Times New Roman"/>
          <w:color w:val="000000" w:themeColor="text1"/>
          <w:kern w:val="44"/>
          <w14:textFill>
            <w14:solidFill>
              <w14:schemeClr w14:val="tx1"/>
            </w14:solidFill>
          </w14:textFill>
        </w:rPr>
      </w:pPr>
      <w:bookmarkStart w:id="67" w:name="_Toc19976"/>
      <w:bookmarkStart w:id="68" w:name="_Toc31294"/>
      <w:r>
        <w:rPr>
          <w:rFonts w:hint="default" w:ascii="Times New Roman" w:hAnsi="Times New Roman" w:eastAsia="黑体" w:cs="Times New Roman"/>
          <w:color w:val="000000" w:themeColor="text1"/>
          <w:kern w:val="44"/>
          <w14:textFill>
            <w14:solidFill>
              <w14:schemeClr w14:val="tx1"/>
            </w14:solidFill>
          </w14:textFill>
        </w:rPr>
        <w:t>八、持续深化农村改革，增强农业农村发展活力</w:t>
      </w:r>
      <w:bookmarkEnd w:id="67"/>
      <w:bookmarkEnd w:id="68"/>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lang w:eastAsia="zh-CN"/>
          <w14:textFill>
            <w14:solidFill>
              <w14:schemeClr w14:val="tx1"/>
            </w14:solidFill>
          </w14:textFill>
        </w:rPr>
      </w:pPr>
      <w:bookmarkStart w:id="69" w:name="_Toc13050"/>
      <w:r>
        <w:rPr>
          <w:rFonts w:hint="default" w:ascii="Times New Roman" w:hAnsi="Times New Roman" w:eastAsia="仿宋_GB2312" w:cs="Times New Roman"/>
          <w:color w:val="000000" w:themeColor="text1"/>
          <w:szCs w:val="32"/>
          <w:lang w:val="en-US" w:eastAsia="zh-CN"/>
          <w14:textFill>
            <w14:solidFill>
              <w14:schemeClr w14:val="tx1"/>
            </w14:solidFill>
          </w14:textFill>
        </w:rPr>
        <w:t>围绕</w:t>
      </w:r>
      <w:r>
        <w:rPr>
          <w:rFonts w:hint="default" w:ascii="Times New Roman" w:hAnsi="Times New Roman" w:eastAsia="仿宋_GB2312" w:cs="Times New Roman"/>
          <w:color w:val="000000" w:themeColor="text1"/>
          <w:szCs w:val="32"/>
          <w14:textFill>
            <w14:solidFill>
              <w14:schemeClr w14:val="tx1"/>
            </w14:solidFill>
          </w14:textFill>
        </w:rPr>
        <w:t>聚焦激活农村资源要素，加快推进农村重点领域和关键环节改革，促进城乡要素平等交换、双向流动，</w:t>
      </w:r>
      <w:r>
        <w:rPr>
          <w:rFonts w:hint="default" w:ascii="Times New Roman" w:hAnsi="Times New Roman" w:eastAsia="仿宋_GB2312" w:cs="Times New Roman"/>
          <w:color w:val="000000" w:themeColor="text1"/>
          <w:szCs w:val="32"/>
          <w:lang w:val="en-US" w:eastAsia="zh-CN"/>
          <w14:textFill>
            <w14:solidFill>
              <w14:schemeClr w14:val="tx1"/>
            </w14:solidFill>
          </w14:textFill>
        </w:rPr>
        <w:t>推动</w:t>
      </w:r>
      <w:r>
        <w:rPr>
          <w:rFonts w:hint="default" w:ascii="Times New Roman" w:hAnsi="Times New Roman" w:eastAsia="仿宋_GB2312" w:cs="Times New Roman"/>
          <w:color w:val="000000" w:themeColor="text1"/>
          <w:szCs w:val="32"/>
          <w14:textFill>
            <w14:solidFill>
              <w14:schemeClr w14:val="tx1"/>
            </w14:solidFill>
          </w14:textFill>
        </w:rPr>
        <w:t>要素更多向乡村集聚，增强农业农村发展活力</w:t>
      </w:r>
      <w:r>
        <w:rPr>
          <w:rFonts w:hint="default" w:ascii="Times New Roman" w:hAnsi="Times New Roman" w:eastAsia="仿宋_GB2312" w:cs="Times New Roman"/>
          <w:color w:val="000000" w:themeColor="text1"/>
          <w:szCs w:val="32"/>
          <w:lang w:eastAsia="zh-CN"/>
          <w14:textFill>
            <w14:solidFill>
              <w14:schemeClr w14:val="tx1"/>
            </w14:solidFill>
          </w14:textFill>
        </w:rPr>
        <w:t>。</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70" w:name="_Toc27319"/>
      <w:r>
        <w:rPr>
          <w:rFonts w:hint="default" w:ascii="Times New Roman" w:hAnsi="Times New Roman" w:eastAsia="楷体_GB2312" w:cs="Times New Roman"/>
          <w:color w:val="000000" w:themeColor="text1"/>
          <w:szCs w:val="32"/>
          <w14:textFill>
            <w14:solidFill>
              <w14:schemeClr w14:val="tx1"/>
            </w14:solidFill>
          </w14:textFill>
        </w:rPr>
        <w:t>（一）全面深化农村改革</w:t>
      </w:r>
      <w:bookmarkEnd w:id="69"/>
      <w:bookmarkEnd w:id="70"/>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1.巩固农村集体产权制度改革成果</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深化农村集体产权制度改革，完善农村集体经济组织法人治理结构，维护集体经济组织成员合法权益，推进资源变资产、资金变股金、农民变股东，增加农村居民财产性收入。组织开展清产核资“回头看”工作，确保清查核实工作经得起实践检验；保障村集体经济组织的基本运转条件，制定且履行好日常管理制度；探索村民委员会和集体经济组织“事务分离”和“账务分设”办法，指导集体经济组织独立开展经营活动；建立以市场为导向的经营灵活、管理有效、运行稳健的集体经济发展新机制。大力支持村集体经济组织通过自主经营、合作经营、委托经营、发包租赁、投资入股等方式，盘活集体资源资产，发展乡村旅游、休闲农业、文化体验、健康养老、电子商务等新产业新业态，延长产业链条，增加集体收益，发展壮大村级集体经济。</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2.稳步推进农村集体经营性建设用地入市</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提前全面摸清存量农村集体经营性建设用地底数，建设拟入市地块数据库，建立完善的集体建设用地基准地价体系。建立健全农村集体经营性建设用地制度，建立入市流程、交易、评估和登记管理等相关办法，保障被征地农民生活水平不降低，长远生计有保障。支持农村集体经济组织依法采取租赁、入股等方式使用建设用地发展农村新产业，鼓励家庭农场、</w:t>
      </w:r>
      <w:r>
        <w:rPr>
          <w:rFonts w:hint="default" w:ascii="Times New Roman" w:hAnsi="Times New Roman" w:eastAsia="仿宋_GB2312" w:cs="Times New Roman"/>
          <w:color w:val="000000" w:themeColor="text1"/>
          <w:szCs w:val="32"/>
          <w:lang w:eastAsia="zh-CN"/>
          <w14:textFill>
            <w14:solidFill>
              <w14:schemeClr w14:val="tx1"/>
            </w14:solidFill>
          </w14:textFill>
        </w:rPr>
        <w:t>农民专业合作社</w:t>
      </w:r>
      <w:r>
        <w:rPr>
          <w:rFonts w:hint="default" w:ascii="Times New Roman" w:hAnsi="Times New Roman" w:eastAsia="仿宋_GB2312" w:cs="Times New Roman"/>
          <w:color w:val="000000" w:themeColor="text1"/>
          <w:szCs w:val="32"/>
          <w14:textFill>
            <w14:solidFill>
              <w14:schemeClr w14:val="tx1"/>
            </w14:solidFill>
          </w14:textFill>
        </w:rPr>
        <w:t>及涉农企业参与农村新业态项目，平等受让建设用地土地使用权。到2025年底，农村土地节约集约利用水平明显提升，产业发展用地保障能力明显增强，存量集体建设用地盘活取得较大进展，城乡统一的建设用地市场全面形成。</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3.稳慎推进农村宅基地制度改革</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探索建立宅基地所有权人权力行使和义务履行机制，完善农村集体经济组织依法行使宅基地规划、分配、调整等权利的具体制度。完善宅基地管理章程，规范集体经济组织对村内集体建设用地、公益建设用地、村民建房、规划管理、矛盾调处等方面的管理和监督；健全议事协商机制，充分发挥村民事务理事会和村民代表大会在宅基地申请、退出、收益分配等重大事务民主管理中的作用；探索宅基地农户资格权保障机制，完善“一户一宅”限面积依法合理分配机制，积极探索保障农民居住需求的多种方式，确保农民“户有所居”；探索宅基地使用权内部流转制度，制定农村宅基地集体经济组织内部流转办法，采取转让、置换、入股等方式进行流转，明确流转的期限，严禁农村宅基地向城镇居民转让；探索农村宅基地使用权流转对集体外部开放的有效方式；探索盘活利用闲置宅基地和闲置农房发展乡村产业的有效途径；鼓励农村集体经济组织及其成员通过自营、出租、入股、合作等多种方式，依法依规盘活农村闲置宅基地和闲置住宅，发展符合农村特点的农家乐、休闲农业、乡村旅游、餐饮民宿、文化体验、电子商务等乡村产业，并研究制定相应管理措施。在防范风险、权属清晰和保证农民有稳定住所的前提下，积极探索农民住房财产权（含宅基地使用权）抵押融资功能；探索宅基地自愿有偿退出机制，明确退出程序，制定相应的配套优惠政策。对退出的宅基地、村内空闲地，本着“宜绿则绿、宜耕则耕、宜建则建”的原则，通过复绿、复垦、整理等方式进行集中规划使用，创新宅基地利用方式。</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4.深入推动城乡融合一体化发展</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深化住房、土地和户籍制度改革、强化基本公共服务保障等重点任务，强化以工促农、以城带乡，推动形成工农互促、城乡互补、协调发展、共同繁荣的新型城乡关系。完善促进新型城镇化与城乡融合发展的措施和规划。进一步完善产业培育、土地保障、财政金融、社会保险和教育、医疗、就业、住房、文体、养老等管用实用的政策措施。要尽快编制新型城镇化与城乡融合发展规划，建立城乡融合发展项目库，搭建城乡融合发展平台和城中村改造合作平台，推动城乡生产要素跨界流动和高效配置。扎实开展县城城镇化补短板强弱项，以完善县城基础设施承载功能为重点，提高县城公共设施和服务能力。实施乡村建设行动，加大乡村水、电、路、气、通讯、广播电视、物流等基础设施建设，促进城镇基础设施向农村延伸，建立和完善农村基础设施建设养护资金保障机制，保护传统村落和乡村风貌，改善农村人居环境。着力发展实体经济，推动城市优势产业做强做优，加快发展新能源、新材料、绿色环保等新兴产业，适度发展劳动密集型产业，提高服务业吸纳就业比重。加快培育</w:t>
      </w:r>
      <w:r>
        <w:rPr>
          <w:rFonts w:hint="default" w:ascii="Times New Roman" w:hAnsi="Times New Roman" w:eastAsia="仿宋_GB2312" w:cs="Times New Roman"/>
          <w:color w:val="000000" w:themeColor="text1"/>
          <w:szCs w:val="32"/>
          <w:lang w:eastAsia="zh-CN"/>
          <w14:textFill>
            <w14:solidFill>
              <w14:schemeClr w14:val="tx1"/>
            </w14:solidFill>
          </w14:textFill>
        </w:rPr>
        <w:t>农民专业合作社</w:t>
      </w:r>
      <w:r>
        <w:rPr>
          <w:rFonts w:hint="default" w:ascii="Times New Roman" w:hAnsi="Times New Roman" w:eastAsia="仿宋_GB2312" w:cs="Times New Roman"/>
          <w:color w:val="000000" w:themeColor="text1"/>
          <w:szCs w:val="32"/>
          <w14:textFill>
            <w14:solidFill>
              <w14:schemeClr w14:val="tx1"/>
            </w14:solidFill>
          </w14:textFill>
        </w:rPr>
        <w:t>、家庭农场等新型农业经营主体，有序发展多种形式的适度规模经营，抓好高标准农田建设，确保“米袋子”和“菜篮子”有效供给。认真落实国家、省、市改革的政策措施，建立和完善城乡人口有序流动迁徙制度，保障农村“三权”，推动农业转移人口有序进城落户。落实吸引城市人才返乡入乡政策，加强城乡劳动力职业技能培训，促进优质人力资源在城乡合理流动。</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71" w:name="_Toc14124"/>
      <w:bookmarkStart w:id="72" w:name="_Toc6852"/>
      <w:r>
        <w:rPr>
          <w:rFonts w:hint="default" w:ascii="Times New Roman" w:hAnsi="Times New Roman" w:eastAsia="楷体_GB2312" w:cs="Times New Roman"/>
          <w:color w:val="000000" w:themeColor="text1"/>
          <w:szCs w:val="32"/>
          <w14:textFill>
            <w14:solidFill>
              <w14:schemeClr w14:val="tx1"/>
            </w14:solidFill>
          </w14:textFill>
        </w:rPr>
        <w:t>（二）创新农村金融保险服务</w:t>
      </w:r>
      <w:bookmarkEnd w:id="71"/>
      <w:bookmarkEnd w:id="72"/>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紧紧围绕中央关于实施乡村振兴战略的重大部署，围绕农户尤其是新型农业经营主体的迫切需求，立足破解农业农村金融瓶颈制约、打通金融资金投入农业农村的渠道、形成金融重点倾斜的多元化投入格局，创新产品、创新服务、创新模式，提高农业农村金融服务的可得性、便利性和精准性，更好满足乡村振兴多样化、多层次的金融需求。鼓励和支持金融机构创新涉农信贷产品，加大对新型农业经营主体的信贷支持力度，在符合国家政策情况下，对县级以上示范性或信用等级较高的新型农业经营主体实行贷款优先和利率优惠政策。稳步推进土地（林地）经营权、农村集体资产股权、订单保单的抵（质）押贷款和小额信用贷款业务，探索开展大型农机具融资租赁试点，稳步推进符合条件的</w:t>
      </w:r>
      <w:r>
        <w:rPr>
          <w:rFonts w:hint="default" w:ascii="Times New Roman" w:hAnsi="Times New Roman" w:eastAsia="仿宋_GB2312" w:cs="Times New Roman"/>
          <w:color w:val="000000" w:themeColor="text1"/>
          <w:szCs w:val="32"/>
          <w:lang w:eastAsia="zh-CN"/>
          <w14:textFill>
            <w14:solidFill>
              <w14:schemeClr w14:val="tx1"/>
            </w14:solidFill>
          </w14:textFill>
        </w:rPr>
        <w:t>农民专业合作社</w:t>
      </w:r>
      <w:r>
        <w:rPr>
          <w:rFonts w:hint="default" w:ascii="Times New Roman" w:hAnsi="Times New Roman" w:eastAsia="仿宋_GB2312" w:cs="Times New Roman"/>
          <w:color w:val="000000" w:themeColor="text1"/>
          <w:szCs w:val="32"/>
          <w14:textFill>
            <w14:solidFill>
              <w14:schemeClr w14:val="tx1"/>
            </w14:solidFill>
          </w14:textFill>
        </w:rPr>
        <w:t>开展内部信用合作，鼓励发展新型农村合作金融。探索新型农业保险模式，开展水稻、玉米完全成本保险和收入保险试点，落实农业保险保额覆盖直接物化成本，创新“基本险+附加险”产品。完善保费动态调整机制，逐步提高保额，开展保费激励试点，鼓励对经营规范、风险防范到位的新型经营主体给予保费优惠。完善农业保险协同推进机制，鼓励各地整合涉农资金，加大地方险种开办力度，推广家庭农场综合保险、农机具保险等业务。积极开展天气指数保险、农产品价格和收入保险、“保险+期货”等试点，提高保险覆盖面。</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73" w:name="_Toc28884"/>
      <w:bookmarkStart w:id="74" w:name="_Toc14651"/>
      <w:r>
        <w:rPr>
          <w:rFonts w:hint="default" w:ascii="Times New Roman" w:hAnsi="Times New Roman" w:eastAsia="楷体_GB2312" w:cs="Times New Roman"/>
          <w:color w:val="000000" w:themeColor="text1"/>
          <w:szCs w:val="32"/>
          <w14:textFill>
            <w14:solidFill>
              <w14:schemeClr w14:val="tx1"/>
            </w14:solidFill>
          </w14:textFill>
        </w:rPr>
        <w:t>（三）加强乡村人才队伍建设</w:t>
      </w:r>
      <w:bookmarkEnd w:id="73"/>
      <w:bookmarkEnd w:id="74"/>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1.加强职业技能培训</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 w:val="0"/>
          <w:i w:val="0"/>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构建以农业及职业院校、科研院所、农广校等为依托，各类培训机构参与的多元化职业技能培训体系，重点培育以种养大户、家庭农场主、</w:t>
      </w:r>
      <w:r>
        <w:rPr>
          <w:rFonts w:hint="default" w:ascii="Times New Roman" w:hAnsi="Times New Roman" w:eastAsia="仿宋_GB2312" w:cs="Times New Roman"/>
          <w:color w:val="000000" w:themeColor="text1"/>
          <w:szCs w:val="32"/>
          <w:lang w:eastAsia="zh-CN"/>
          <w14:textFill>
            <w14:solidFill>
              <w14:schemeClr w14:val="tx1"/>
            </w14:solidFill>
          </w14:textFill>
        </w:rPr>
        <w:t>农民专业合作社</w:t>
      </w:r>
      <w:r>
        <w:rPr>
          <w:rFonts w:hint="default" w:ascii="Times New Roman" w:hAnsi="Times New Roman" w:eastAsia="仿宋_GB2312" w:cs="Times New Roman"/>
          <w:color w:val="000000" w:themeColor="text1"/>
          <w:szCs w:val="32"/>
          <w14:textFill>
            <w14:solidFill>
              <w14:schemeClr w14:val="tx1"/>
            </w14:solidFill>
          </w14:textFill>
        </w:rPr>
        <w:t>骨干为主体的生产经营型，以农业企业与合作社雇工为主体的专业技能型，以及以农机手、植保员、农村经纪人、信息员为主体的专业服务型等三种类型的新型职业农民。落实农村实用人才、产业带头人和高素质农民培育计划，加强农民职业技能培训，培育一批有文化、懂技术、会经营、能创业的新型农民，建设一支与农业现代化相适应的主体力量。每年培育新型职业农民100人以上，到2025年，全市新型职业农民数量达到2500人</w:t>
      </w:r>
      <w:r>
        <w:rPr>
          <w:rFonts w:hint="default" w:ascii="Times New Roman" w:hAnsi="Times New Roman" w:eastAsia="仿宋_GB2312" w:cs="Times New Roman"/>
          <w:b w:val="0"/>
          <w:i w:val="0"/>
          <w:color w:val="000000" w:themeColor="text1"/>
          <w:sz w:val="32"/>
          <w14:textFill>
            <w14:solidFill>
              <w14:schemeClr w14:val="tx1"/>
            </w14:solidFill>
          </w14:textFill>
        </w:rPr>
        <w:t>。</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2.积极创新培训组织形式</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加大选拔优秀农村实用专业人才力度。探索乡村技能培训模式，通过田间课堂、网络教室等方式，对农村劳动力进行普遍培训，让优秀村党支部书记、致富能手等现身说法，提高培训针对性、实用性、专业性。发展一批“土专家”“田秀才”，扶持一批农业经理人、经纪人，培育一批乡村工匠、文化能人、非物质文化遗产传承人。</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3.构建高技能人才培养体系</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结合蛟河市农村经济发展和产业结构调整的需要，积极实施国家高技能人才培训工程，多渠道培养高技能人才，推动职业院校紧密结合市场需求和新型农业经营主体需要，开展职工技能提升培训和新知识、新技术、新工艺培训，充分发挥高技能人才在经济社会发展和技能劳动者队伍建设中的引领示范作用。以推动经营管理人才职业化、专业化发展为重点，建立符合蛟河农业发展特点的企业经营管理人才培养开发体系。加强企业领导人员多岗位锻炼，围绕结构调整，大力选拔培养优秀青年管理人才到国家有关培训机构和国内外知名大学研修，强化现代管理理念，提高战略思维和变革创新能力。健全有效的激励机制，引导企业向知识、技术、管理生产要素倾斜政策，调动人才的主观能动性、积极性和创造性。逐步加大从国外知名院校引进接收优秀毕业生的工作力度，为国际化经营管理人才队伍建设做好人才储备。</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4.推进农村创新创业</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切实发挥全国农村创新创业典型县的示范作用，依托现代农业产业园、可视农业基地等，建设各类农村创新创业园区，建设集“生产+加工+科技+营销+品牌+体验”于一体、“预孵化+孵化器+加速器+稳定器”全产业链的农村创新创业孵化实训基地。依托乡村保障服务中心平台，加强返乡下乡人员创新创业服务指导。建立健全农村“双创”政策支撑体系，引导有资金积累、技术专长和市场信息的返乡农民工返乡创业，引导大中专毕业生、退役军人、科技人员和工商业主等入乡创业，引导高素质农民和“田秀才”“土专家”等乡土人才在乡创业。</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75" w:name="_Toc20271"/>
      <w:bookmarkStart w:id="76" w:name="_Toc15566"/>
      <w:r>
        <w:rPr>
          <w:rFonts w:hint="default" w:ascii="Times New Roman" w:hAnsi="Times New Roman" w:eastAsia="楷体_GB2312" w:cs="Times New Roman"/>
          <w:color w:val="000000" w:themeColor="text1"/>
          <w:szCs w:val="32"/>
          <w14:textFill>
            <w14:solidFill>
              <w14:schemeClr w14:val="tx1"/>
            </w14:solidFill>
          </w14:textFill>
        </w:rPr>
        <w:t>（四）加快发展农村集体经济</w:t>
      </w:r>
      <w:bookmarkEnd w:id="75"/>
      <w:bookmarkEnd w:id="76"/>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加快发展农村集体经济，以盘活集体资源资产为重点，以探索集体资产保值增值为目标，以发展股份合作制经济为突破口，全面做到有较完善的治理体系、有经营管理人才队伍、有主导产业与经营项目、有政策支持体系，推动农村集体经济发展进入新时期。不断创新农村集体经济（股份）合作社发展模式，以集体经济（股份）合作社为平台，提高农村资源的经营水平、拓展农村集体经济空间，提高自身发展的支撑与服务能力，提高对广大农民的服务供给和服务水平，满足广大农民对美好生活的追求。</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77" w:name="_Toc444"/>
      <w:bookmarkStart w:id="78" w:name="_Toc19194"/>
      <w:r>
        <w:rPr>
          <w:rFonts w:hint="default" w:ascii="Times New Roman" w:hAnsi="Times New Roman" w:eastAsia="楷体_GB2312" w:cs="Times New Roman"/>
          <w:color w:val="000000" w:themeColor="text1"/>
          <w:szCs w:val="32"/>
          <w14:textFill>
            <w14:solidFill>
              <w14:schemeClr w14:val="tx1"/>
            </w14:solidFill>
          </w14:textFill>
        </w:rPr>
        <w:t>（五）持续促进农民增收</w:t>
      </w:r>
      <w:bookmarkEnd w:id="77"/>
      <w:bookmarkEnd w:id="78"/>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1.建立健全利益分配机制</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鼓励农民以土地、林权、资金、劳动、技术、产品为纽带，开展多种形式的合作与联合，构建紧密的利益联结机制，稳步提高农民收入，依法组建农民专业合作社联合社，强化农民作为市场主体的平等地位。通过支持农民开展各类联合合作、建设家庭农场、提升就业创业技能等多种方式，构建形成小农户与现代农业有效衔接、利益充分保护的联结方式。推广“订单收购+分红”“土地流转+劳务+社保”“农民入股+保底收益+按股分红”等多种利益联结方式，鼓励支持龙头企业与合作社、家庭农场、种养大户、普通农户相互交叉入股。引导农村集体经济组织挖掘集体土地、房屋、设施等资源和资产潜力，依法通过股份制、合作制、股份合作制、租赁等形式，积极参与产业融合发展。积极培育社会化服务组织，加强农技指导、信用评价、保险推广、市场预测、产品营销等服务，为农民参与产业融合创造良好条件。鼓励龙头企业通过采取设立风险资金、为农户承贷承还、提供信贷担保、领办或参办农民合作组织等多种形式，与农民建立稳定的订单和契约关系。积极发挥行业协会作用，引导行业协会带动各类主体共同设立营销基金，加强农产品销售推介和品牌运作，让农户更多分享产业链增值收益。</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2.大力推进农民增收</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以农产品生产、加工、销售为主要收入来源，努力在扩大生产经营规模、提高特色农产品质量和品质、全面控制生产成本、提高投入品使用效率、推广使用新品种、新技术，全面提高经营管理水平同时，最大限度提高家庭经营性收入。大力发展乡村各类企业，特别是吸纳农村劳动力就业的企业，扩大农民再就业空间；加大对广大农民再就业能力的培训，让更多的农民拥有多项再就业技能，让多数农民走兼业路，农忙时节回乡务农，剩余时间就业务工。加快农村资源、资产改革步伐，让农民土地经营权、宅基地使用权、闲置房屋、村集体经济组织股权等得到充分活化，成为农民收入新的增长点。</w:t>
      </w:r>
    </w:p>
    <w:p>
      <w:pPr>
        <w:pageBreakBefore w:val="0"/>
        <w:kinsoku/>
        <w:wordWrap/>
        <w:overflowPunct/>
        <w:topLinePunct w:val="0"/>
        <w:autoSpaceDE/>
        <w:autoSpaceDN/>
        <w:bidi w:val="0"/>
        <w:spacing w:line="560" w:lineRule="exact"/>
        <w:ind w:left="0" w:firstLine="643"/>
        <w:textAlignment w:val="auto"/>
        <w:rPr>
          <w:rFonts w:hint="default" w:ascii="Times New Roman" w:hAnsi="Times New Roman" w:eastAsia="仿宋_GB2312" w:cs="Times New Roman"/>
          <w:b/>
          <w:bCs/>
          <w:color w:val="000000" w:themeColor="text1"/>
          <w:szCs w:val="32"/>
          <w14:textFill>
            <w14:solidFill>
              <w14:schemeClr w14:val="tx1"/>
            </w14:solidFill>
          </w14:textFill>
        </w:rPr>
      </w:pPr>
      <w:r>
        <w:rPr>
          <w:rFonts w:hint="default" w:ascii="Times New Roman" w:hAnsi="Times New Roman" w:eastAsia="仿宋_GB2312" w:cs="Times New Roman"/>
          <w:b/>
          <w:bCs/>
          <w:color w:val="000000" w:themeColor="text1"/>
          <w:szCs w:val="32"/>
          <w14:textFill>
            <w14:solidFill>
              <w14:schemeClr w14:val="tx1"/>
            </w14:solidFill>
          </w14:textFill>
        </w:rPr>
        <w:t>3.强化资金扶持引导</w:t>
      </w:r>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b w:val="0"/>
          <w:i w:val="0"/>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以“盘活资源、产业带动、服务创收”等方式为基础，因地制宜、分类指导，强化政策扶持以及项目支持，盘活乡村资源推动农民增收。鼓励全县农业产业化龙头企业，探索形成更有效、更有力、更惠农的运行机制，将符合条件的财政资金量化到农村集体经济组织和农户中，采取资源入股的方式投入新型农业经营主体，对农户土地经营权入股部分采取特殊保护，探索农民资产保值增值机制。</w:t>
      </w:r>
    </w:p>
    <w:bookmarkEnd w:id="48"/>
    <w:bookmarkEnd w:id="49"/>
    <w:p>
      <w:pPr>
        <w:pageBreakBefore w:val="0"/>
        <w:kinsoku/>
        <w:wordWrap/>
        <w:overflowPunct/>
        <w:topLinePunct w:val="0"/>
        <w:autoSpaceDE/>
        <w:autoSpaceDN/>
        <w:bidi w:val="0"/>
        <w:spacing w:line="560" w:lineRule="exact"/>
        <w:ind w:left="0" w:firstLine="640"/>
        <w:textAlignment w:val="auto"/>
        <w:outlineLvl w:val="0"/>
        <w:rPr>
          <w:rFonts w:hint="default" w:ascii="Times New Roman" w:hAnsi="Times New Roman" w:eastAsia="黑体" w:cs="Times New Roman"/>
          <w:color w:val="000000" w:themeColor="text1"/>
          <w:szCs w:val="32"/>
          <w14:textFill>
            <w14:solidFill>
              <w14:schemeClr w14:val="tx1"/>
            </w14:solidFill>
          </w14:textFill>
        </w:rPr>
      </w:pPr>
      <w:bookmarkStart w:id="79" w:name="_Toc29576"/>
      <w:bookmarkStart w:id="80" w:name="_Toc19628"/>
      <w:bookmarkStart w:id="81" w:name="_Toc28486"/>
      <w:r>
        <w:rPr>
          <w:rFonts w:hint="default" w:ascii="Times New Roman" w:hAnsi="Times New Roman" w:eastAsia="黑体" w:cs="Times New Roman"/>
          <w:color w:val="000000" w:themeColor="text1"/>
          <w:szCs w:val="32"/>
          <w14:textFill>
            <w14:solidFill>
              <w14:schemeClr w14:val="tx1"/>
            </w14:solidFill>
          </w14:textFill>
        </w:rPr>
        <w:t>九、保障措施</w:t>
      </w:r>
      <w:bookmarkEnd w:id="79"/>
      <w:bookmarkEnd w:id="80"/>
      <w:bookmarkEnd w:id="81"/>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82" w:name="_Toc2884"/>
      <w:bookmarkStart w:id="83" w:name="_Toc3518"/>
      <w:bookmarkStart w:id="84" w:name="_Toc10393"/>
      <w:r>
        <w:rPr>
          <w:rFonts w:hint="default" w:ascii="Times New Roman" w:hAnsi="Times New Roman" w:eastAsia="楷体_GB2312" w:cs="Times New Roman"/>
          <w:color w:val="000000" w:themeColor="text1"/>
          <w:szCs w:val="32"/>
          <w14:textFill>
            <w14:solidFill>
              <w14:schemeClr w14:val="tx1"/>
            </w14:solidFill>
          </w14:textFill>
        </w:rPr>
        <w:t>（一）加强组织领导，推动规划顺利实施</w:t>
      </w:r>
      <w:bookmarkEnd w:id="82"/>
      <w:bookmarkEnd w:id="83"/>
      <w:bookmarkEnd w:id="84"/>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坚持党总揽全局、协调各方，为实现农业和农村经济发展提供坚强的政治保障。市委、市政府要加强对农业和农村发展的组织领导，把农业和农村发展纳入全市重点工作督查范围，汇聚各部门、各乡镇（街道）和社会各方面的强大力量。市委成立农业和农村发展工作领导小组，由市委主要领导任组长，农业农村局为主导，会同有关部门，统筹推进农业和农村经济发展建设工作，研究重大政策、重大问题和重点工作安排，跟踪和督促规划各项任务落实，建立规划实施和工作推进机制，加强政策衔接和工作协调。各乡镇（街道）要结合发展实际，制定规划，分解任务，细化各项措施，扎实推进落实本乡镇（街道）农业和农村经济发展建设工作，全力推进农业和农村工作，扎实推进规划的组织实施。</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85" w:name="_Toc13497"/>
      <w:bookmarkStart w:id="86" w:name="_Toc3199"/>
      <w:bookmarkStart w:id="87" w:name="_Toc8840"/>
      <w:r>
        <w:rPr>
          <w:rFonts w:hint="default" w:ascii="Times New Roman" w:hAnsi="Times New Roman" w:eastAsia="楷体_GB2312" w:cs="Times New Roman"/>
          <w:color w:val="000000" w:themeColor="text1"/>
          <w:szCs w:val="32"/>
          <w14:textFill>
            <w14:solidFill>
              <w14:schemeClr w14:val="tx1"/>
            </w14:solidFill>
          </w14:textFill>
        </w:rPr>
        <w:t>（二）强化政策保障，改善农业发展环境</w:t>
      </w:r>
      <w:bookmarkEnd w:id="85"/>
      <w:bookmarkEnd w:id="86"/>
      <w:bookmarkEnd w:id="87"/>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在落实各项强农惠农富农政策和建立财政支农资金稳定增长机制的基础上，不断优化农业投入结构，充分发挥财政资金的导向作用，综合运用直接补助、贷款贴息、以奖代补等手段，引导龙头企业和社会资金投入现代农业建设。各乡镇街（街道），不断完善、细化现代农业发展的政策措施，确保资金、土地、科技等生产要素向现代农业聚集。</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88" w:name="_Toc20809"/>
      <w:bookmarkStart w:id="89" w:name="_Toc7999"/>
      <w:bookmarkStart w:id="90" w:name="_Toc4992"/>
      <w:r>
        <w:rPr>
          <w:rFonts w:hint="default" w:ascii="Times New Roman" w:hAnsi="Times New Roman" w:eastAsia="楷体_GB2312" w:cs="Times New Roman"/>
          <w:color w:val="000000" w:themeColor="text1"/>
          <w:szCs w:val="32"/>
          <w14:textFill>
            <w14:solidFill>
              <w14:schemeClr w14:val="tx1"/>
            </w14:solidFill>
          </w14:textFill>
        </w:rPr>
        <w:t>（三）加大投入力度，夯实农业发展基础</w:t>
      </w:r>
      <w:bookmarkEnd w:id="88"/>
      <w:bookmarkEnd w:id="89"/>
      <w:bookmarkEnd w:id="90"/>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加大财政在“三农”领域的投入倾斜力度，优化支出结构，将公共财政资源优先投入农村教育、医疗、卫生、交通、信息、社会保障等公共服务领域，加强人居环境治理投入，建立农村垃圾、污水处理系统，强化农村水利基础设施网络和智能化信息网络建设。引导社会资本投入农业，鼓励和促进工业与城市资源要素向农业农村配置，调动农民参与农业农村基础设施建设的积极性。拓展融资渠道，扩大直补资金担保贷款和土地收益保证贷款的覆盖面，推进土地经营权抵押贷款。</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91" w:name="_Toc19820"/>
      <w:bookmarkStart w:id="92" w:name="_Toc29281"/>
      <w:bookmarkStart w:id="93" w:name="_Toc24138"/>
      <w:r>
        <w:rPr>
          <w:rFonts w:hint="default" w:ascii="Times New Roman" w:hAnsi="Times New Roman" w:eastAsia="楷体_GB2312" w:cs="Times New Roman"/>
          <w:color w:val="000000" w:themeColor="text1"/>
          <w:szCs w:val="32"/>
          <w14:textFill>
            <w14:solidFill>
              <w14:schemeClr w14:val="tx1"/>
            </w14:solidFill>
          </w14:textFill>
        </w:rPr>
        <w:t>（四）营造发展环境，保障生态安全</w:t>
      </w:r>
      <w:bookmarkEnd w:id="91"/>
      <w:bookmarkEnd w:id="92"/>
      <w:bookmarkEnd w:id="93"/>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强化对资源开发和建设项目的生态保护，遏制人为破坏生态环境行为。保障生态安全，提高资源节约集约利用水平，提升生态文明高度，合理开发资源，注重节能减排，建设天蓝地绿水净美好家园，以最小的资源代价实现可持续发展，构建蛟河特色独具、绿色生态、自然和谐、宜居宜业的发展模式。同时，加强生态文明制度与法规的宣传教育，提高全市人民的法律意识。以改善人居环境质量，优化经济发展和保障环境安全为基本出发点。遵循自然规律和经济发展规律，坚持发展经济与保护环境并重，在发展中解决环境问题。依靠科技进步，发展循环经济，倡导生态文明建设，强化环境法治，完善监管体制，建设资源节约型和环境友好型社会。紧紧抓住环境质量改善这个核心，践行“三严三实”，推进生态环境保护工作，为实现“蓝天常在、青山常在、绿水常在”的美丽蛟河作出贡献，全面推进“美丽蛟河”建设。</w:t>
      </w:r>
    </w:p>
    <w:p>
      <w:pPr>
        <w:pageBreakBefore w:val="0"/>
        <w:kinsoku/>
        <w:wordWrap/>
        <w:overflowPunct/>
        <w:topLinePunct w:val="0"/>
        <w:autoSpaceDE/>
        <w:autoSpaceDN/>
        <w:bidi w:val="0"/>
        <w:spacing w:line="560" w:lineRule="exact"/>
        <w:ind w:left="0" w:firstLine="640"/>
        <w:textAlignment w:val="auto"/>
        <w:outlineLvl w:val="1"/>
        <w:rPr>
          <w:rFonts w:hint="default" w:ascii="Times New Roman" w:hAnsi="Times New Roman" w:eastAsia="楷体_GB2312" w:cs="Times New Roman"/>
          <w:color w:val="000000" w:themeColor="text1"/>
          <w:szCs w:val="32"/>
          <w14:textFill>
            <w14:solidFill>
              <w14:schemeClr w14:val="tx1"/>
            </w14:solidFill>
          </w14:textFill>
        </w:rPr>
      </w:pPr>
      <w:bookmarkStart w:id="94" w:name="_Toc21081"/>
      <w:bookmarkStart w:id="95" w:name="_Toc24236"/>
      <w:bookmarkStart w:id="96" w:name="_Toc16639"/>
      <w:r>
        <w:rPr>
          <w:rFonts w:hint="default" w:ascii="Times New Roman" w:hAnsi="Times New Roman" w:eastAsia="楷体_GB2312" w:cs="Times New Roman"/>
          <w:color w:val="000000" w:themeColor="text1"/>
          <w:szCs w:val="32"/>
          <w14:textFill>
            <w14:solidFill>
              <w14:schemeClr w14:val="tx1"/>
            </w14:solidFill>
          </w14:textFill>
        </w:rPr>
        <w:t>（五）坚持对外开发，确保要素不断流入</w:t>
      </w:r>
      <w:bookmarkEnd w:id="94"/>
      <w:bookmarkEnd w:id="95"/>
      <w:bookmarkEnd w:id="96"/>
    </w:p>
    <w:p>
      <w:pPr>
        <w:pageBreakBefore w:val="0"/>
        <w:kinsoku/>
        <w:wordWrap/>
        <w:overflowPunct/>
        <w:topLinePunct w:val="0"/>
        <w:autoSpaceDE/>
        <w:autoSpaceDN/>
        <w:bidi w:val="0"/>
        <w:spacing w:line="560" w:lineRule="exact"/>
        <w:ind w:left="0" w:firstLine="640"/>
        <w:textAlignment w:val="auto"/>
        <w:rPr>
          <w:rFonts w:hint="default" w:ascii="Times New Roman" w:hAnsi="Times New Roman" w:eastAsia="仿宋_GB2312" w:cs="Times New Roman"/>
          <w:color w:val="000000" w:themeColor="text1"/>
          <w:szCs w:val="32"/>
          <w14:textFill>
            <w14:solidFill>
              <w14:schemeClr w14:val="tx1"/>
            </w14:solidFill>
          </w14:textFill>
        </w:rPr>
      </w:pPr>
      <w:r>
        <w:rPr>
          <w:rFonts w:hint="default" w:ascii="Times New Roman" w:hAnsi="Times New Roman" w:eastAsia="仿宋_GB2312" w:cs="Times New Roman"/>
          <w:color w:val="000000" w:themeColor="text1"/>
          <w:szCs w:val="32"/>
          <w14:textFill>
            <w14:solidFill>
              <w14:schemeClr w14:val="tx1"/>
            </w14:solidFill>
          </w14:textFill>
        </w:rPr>
        <w:t>坚持对外开放，围绕优势特色产业的扩能升级、深度开发和链条延伸，加强产业合作。坚持引资与引技、引智并举，创新招商引资，引进附加值高、资源节约、节能环保和基地型、龙头型项目，注重开发“名、特、优、新”农产品及加工品，特别要大力开发名牌产品和特色产品。积极承接省内外等大城市及发达地区资金、技术、产业、人才转移，同时发挥蛟河地理优势，深化与周边地区互利合作。全方位引进经济发展合作者和战略合作伙伴，不断利用域外资金、智慧，破解原有发展的“路径依赖”，建设富强蛟河。</w:t>
      </w:r>
    </w:p>
    <w:p>
      <w:pPr>
        <w:ind w:firstLine="640"/>
        <w:rPr>
          <w:rFonts w:hint="default" w:ascii="Times New Roman" w:hAnsi="Times New Roman" w:eastAsia="仿宋_GB2312" w:cs="Times New Roman"/>
          <w:color w:val="000000" w:themeColor="text1"/>
          <w:szCs w:val="32"/>
          <w14:textFill>
            <w14:solidFill>
              <w14:schemeClr w14:val="tx1"/>
            </w14:solidFill>
          </w14:textFill>
        </w:rPr>
        <w:sectPr>
          <w:footerReference r:id="rId6" w:type="default"/>
          <w:pgSz w:w="11906" w:h="16838"/>
          <w:pgMar w:top="2098" w:right="1474" w:bottom="1984" w:left="1587" w:header="851" w:footer="992" w:gutter="0"/>
          <w:pgNumType w:fmt="decimal" w:start="1"/>
          <w:cols w:space="425" w:num="1"/>
          <w:docGrid w:type="lines" w:linePitch="312" w:charSpace="0"/>
        </w:sectPr>
      </w:pPr>
      <w:r>
        <w:rPr>
          <w:rFonts w:hint="default" w:ascii="Times New Roman" w:hAnsi="Times New Roman" w:eastAsia="仿宋_GB2312" w:cs="Times New Roman"/>
          <w:color w:val="000000" w:themeColor="text1"/>
          <w:szCs w:val="32"/>
          <w14:textFill>
            <w14:solidFill>
              <w14:schemeClr w14:val="tx1"/>
            </w14:solidFill>
          </w14:textFill>
        </w:rPr>
        <w:br w:type="page"/>
      </w:r>
    </w:p>
    <w:p>
      <w:pPr>
        <w:tabs>
          <w:tab w:val="left" w:pos="1829"/>
          <w:tab w:val="center" w:pos="4535"/>
        </w:tabs>
        <w:ind w:firstLine="0" w:firstLineChars="0"/>
        <w:outlineLvl w:val="0"/>
        <w:rPr>
          <w:rFonts w:hint="eastAsia" w:ascii="黑体" w:hAnsi="黑体" w:eastAsia="黑体" w:cs="黑体"/>
          <w:b w:val="0"/>
          <w:bCs w:val="0"/>
          <w:color w:val="000000" w:themeColor="text1"/>
          <w:sz w:val="32"/>
          <w:szCs w:val="36"/>
          <w:lang w:val="en-US" w:eastAsia="zh-CN"/>
          <w14:textFill>
            <w14:solidFill>
              <w14:schemeClr w14:val="tx1"/>
            </w14:solidFill>
          </w14:textFill>
        </w:rPr>
      </w:pPr>
      <w:bookmarkStart w:id="97" w:name="_Toc32401"/>
      <w:r>
        <w:rPr>
          <w:rFonts w:hint="eastAsia" w:ascii="黑体" w:hAnsi="黑体" w:eastAsia="黑体" w:cs="黑体"/>
          <w:b w:val="0"/>
          <w:bCs w:val="0"/>
          <w:color w:val="000000" w:themeColor="text1"/>
          <w:sz w:val="32"/>
          <w:szCs w:val="36"/>
          <w14:textFill>
            <w14:solidFill>
              <w14:schemeClr w14:val="tx1"/>
            </w14:solidFill>
          </w14:textFill>
        </w:rPr>
        <w:t>附件</w:t>
      </w:r>
      <w:r>
        <w:rPr>
          <w:rFonts w:hint="eastAsia" w:ascii="黑体" w:hAnsi="黑体" w:eastAsia="黑体" w:cs="黑体"/>
          <w:b w:val="0"/>
          <w:bCs w:val="0"/>
          <w:color w:val="000000" w:themeColor="text1"/>
          <w:sz w:val="32"/>
          <w:szCs w:val="36"/>
          <w:lang w:val="en-US" w:eastAsia="zh-CN"/>
          <w14:textFill>
            <w14:solidFill>
              <w14:schemeClr w14:val="tx1"/>
            </w14:solidFill>
          </w14:textFill>
        </w:rPr>
        <w:t>1</w:t>
      </w:r>
    </w:p>
    <w:p>
      <w:pPr>
        <w:tabs>
          <w:tab w:val="left" w:pos="1829"/>
          <w:tab w:val="center" w:pos="4535"/>
        </w:tabs>
        <w:ind w:firstLine="0" w:firstLineChars="0"/>
        <w:jc w:val="center"/>
        <w:outlineLvl w:val="0"/>
        <w:rPr>
          <w:rFonts w:hint="default" w:ascii="Times New Roman" w:hAnsi="Times New Roman" w:cs="Times New Roman"/>
          <w:color w:val="000000" w:themeColor="text1"/>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8"/>
          <w14:textFill>
            <w14:solidFill>
              <w14:schemeClr w14:val="tx1"/>
            </w14:solidFill>
          </w14:textFill>
        </w:rPr>
        <w:t>蛟河市特色农业产业主要分布图</w:t>
      </w:r>
      <w:bookmarkEnd w:id="97"/>
    </w:p>
    <w:p>
      <w:pPr>
        <w:ind w:firstLine="0" w:firstLineChars="0"/>
        <w:rPr>
          <w:rFonts w:hint="default" w:ascii="Times New Roman" w:hAnsi="Times New Roman" w:eastAsia="仿宋_GB2312" w:cs="Times New Roman"/>
          <w:b w:val="0"/>
          <w:i w:val="0"/>
          <w:sz w:val="32"/>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eastAsia="仿宋_GB2312" w:cs="Times New Roman"/>
          <w:b w:val="0"/>
          <w:i w:val="0"/>
          <w:sz w:val="32"/>
        </w:rPr>
        <w:drawing>
          <wp:inline distT="0" distB="0" distL="114300" distR="114300">
            <wp:extent cx="7712075" cy="5451475"/>
            <wp:effectExtent l="0" t="0" r="15875" b="3175"/>
            <wp:docPr id="3" name="图片 3" descr="布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布局图"/>
                    <pic:cNvPicPr>
                      <a:picLocks noChangeAspect="1"/>
                    </pic:cNvPicPr>
                  </pic:nvPicPr>
                  <pic:blipFill>
                    <a:blip r:embed="rId9"/>
                    <a:stretch>
                      <a:fillRect/>
                    </a:stretch>
                  </pic:blipFill>
                  <pic:spPr>
                    <a:xfrm rot="16200000">
                      <a:off x="0" y="0"/>
                      <a:ext cx="7712075" cy="5451475"/>
                    </a:xfrm>
                    <a:prstGeom prst="rect">
                      <a:avLst/>
                    </a:prstGeom>
                  </pic:spPr>
                </pic:pic>
              </a:graphicData>
            </a:graphic>
          </wp:inline>
        </w:drawing>
      </w:r>
    </w:p>
    <w:p>
      <w:pPr>
        <w:tabs>
          <w:tab w:val="left" w:pos="1829"/>
          <w:tab w:val="center" w:pos="4535"/>
        </w:tabs>
        <w:ind w:firstLine="0" w:firstLineChars="0"/>
        <w:jc w:val="left"/>
        <w:outlineLvl w:val="0"/>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pPr>
      <w:bookmarkStart w:id="98" w:name="_Toc18437"/>
      <w:bookmarkStart w:id="99" w:name="_Toc19905"/>
      <w:bookmarkStart w:id="100" w:name="_Toc19238"/>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附件</w:t>
      </w:r>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2</w:t>
      </w:r>
    </w:p>
    <w:p>
      <w:pPr>
        <w:tabs>
          <w:tab w:val="left" w:pos="1829"/>
          <w:tab w:val="center" w:pos="4535"/>
        </w:tabs>
        <w:ind w:firstLine="0" w:firstLineChars="0"/>
        <w:jc w:val="center"/>
        <w:outlineLvl w:val="0"/>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“十四五”重点工程支撑项目一览表</w:t>
      </w:r>
      <w:bookmarkEnd w:id="98"/>
      <w:bookmarkEnd w:id="99"/>
      <w:bookmarkEnd w:id="100"/>
    </w:p>
    <w:p>
      <w:pPr>
        <w:tabs>
          <w:tab w:val="left" w:pos="1829"/>
          <w:tab w:val="center" w:pos="4535"/>
        </w:tabs>
        <w:ind w:firstLine="0" w:firstLineChars="0"/>
        <w:jc w:val="right"/>
        <w:rPr>
          <w:rFonts w:hint="default" w:ascii="Times New Roman" w:hAnsi="Times New Roman" w:eastAsia="宋体" w:cs="Times New Roman"/>
          <w:color w:val="000000" w:themeColor="text1"/>
          <w:kern w:val="0"/>
          <w:sz w:val="24"/>
          <w:szCs w:val="24"/>
          <w:lang w:bidi="ar"/>
          <w14:textFill>
            <w14:solidFill>
              <w14:schemeClr w14:val="tx1"/>
            </w14:solidFill>
          </w14:textFill>
        </w:rPr>
      </w:pPr>
      <w:bookmarkStart w:id="101" w:name="_Toc26681"/>
      <w:r>
        <w:rPr>
          <w:rFonts w:hint="default" w:ascii="Times New Roman" w:hAnsi="Times New Roman" w:eastAsia="宋体" w:cs="Times New Roman"/>
          <w:color w:val="000000" w:themeColor="text1"/>
          <w:kern w:val="0"/>
          <w:sz w:val="24"/>
          <w:szCs w:val="24"/>
          <w:lang w:bidi="ar"/>
          <w14:textFill>
            <w14:solidFill>
              <w14:schemeClr w14:val="tx1"/>
            </w14:solidFill>
          </w14:textFill>
        </w:rPr>
        <w:t>单位：万元</w:t>
      </w:r>
      <w:bookmarkEnd w:id="101"/>
    </w:p>
    <w:tbl>
      <w:tblPr>
        <w:tblStyle w:val="24"/>
        <w:tblW w:w="4999" w:type="pct"/>
        <w:tblInd w:w="0" w:type="dxa"/>
        <w:tblLayout w:type="autofit"/>
        <w:tblCellMar>
          <w:top w:w="0" w:type="dxa"/>
          <w:left w:w="0" w:type="dxa"/>
          <w:bottom w:w="0" w:type="dxa"/>
          <w:right w:w="0" w:type="dxa"/>
        </w:tblCellMar>
      </w:tblPr>
      <w:tblGrid>
        <w:gridCol w:w="1777"/>
        <w:gridCol w:w="647"/>
        <w:gridCol w:w="3390"/>
        <w:gridCol w:w="7062"/>
        <w:gridCol w:w="1109"/>
      </w:tblGrid>
      <w:tr>
        <w:tblPrEx>
          <w:tblCellMar>
            <w:top w:w="0" w:type="dxa"/>
            <w:left w:w="0" w:type="dxa"/>
            <w:bottom w:w="0" w:type="dxa"/>
            <w:right w:w="0" w:type="dxa"/>
          </w:tblCellMar>
        </w:tblPrEx>
        <w:trPr>
          <w:trHeight w:val="713" w:hRule="atLeast"/>
        </w:trPr>
        <w:tc>
          <w:tcPr>
            <w:tcW w:w="63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eastAsia="黑体" w:cs="Times New Roman"/>
                <w:bCs/>
                <w:color w:val="000000" w:themeColor="text1"/>
                <w:sz w:val="24"/>
                <w:szCs w:val="24"/>
                <w14:textFill>
                  <w14:solidFill>
                    <w14:schemeClr w14:val="tx1"/>
                  </w14:solidFill>
                </w14:textFill>
              </w:rPr>
            </w:pPr>
            <w:r>
              <w:rPr>
                <w:rFonts w:hint="default" w:ascii="Times New Roman" w:hAnsi="Times New Roman" w:eastAsia="黑体" w:cs="Times New Roman"/>
                <w:bCs/>
                <w:color w:val="000000" w:themeColor="text1"/>
                <w:kern w:val="0"/>
                <w:sz w:val="24"/>
                <w:szCs w:val="24"/>
                <w:lang w:bidi="ar"/>
                <w14:textFill>
                  <w14:solidFill>
                    <w14:schemeClr w14:val="tx1"/>
                  </w14:solidFill>
                </w14:textFill>
              </w:rPr>
              <w:t>工程名称</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eastAsia="黑体" w:cs="Times New Roman"/>
                <w:bCs/>
                <w:color w:val="000000" w:themeColor="text1"/>
                <w:sz w:val="24"/>
                <w:szCs w:val="24"/>
                <w14:textFill>
                  <w14:solidFill>
                    <w14:schemeClr w14:val="tx1"/>
                  </w14:solidFill>
                </w14:textFill>
              </w:rPr>
            </w:pPr>
            <w:r>
              <w:rPr>
                <w:rFonts w:hint="default" w:ascii="Times New Roman" w:hAnsi="Times New Roman" w:eastAsia="黑体" w:cs="Times New Roman"/>
                <w:bCs/>
                <w:color w:val="000000" w:themeColor="text1"/>
                <w:kern w:val="0"/>
                <w:sz w:val="24"/>
                <w:szCs w:val="24"/>
                <w:lang w:bidi="ar"/>
                <w14:textFill>
                  <w14:solidFill>
                    <w14:schemeClr w14:val="tx1"/>
                  </w14:solidFill>
                </w14:textFill>
              </w:rPr>
              <w:t>序号</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eastAsia="黑体" w:cs="Times New Roman"/>
                <w:bCs/>
                <w:color w:val="000000" w:themeColor="text1"/>
                <w:sz w:val="24"/>
                <w:szCs w:val="24"/>
                <w14:textFill>
                  <w14:solidFill>
                    <w14:schemeClr w14:val="tx1"/>
                  </w14:solidFill>
                </w14:textFill>
              </w:rPr>
            </w:pPr>
            <w:r>
              <w:rPr>
                <w:rFonts w:hint="default" w:ascii="Times New Roman" w:hAnsi="Times New Roman" w:eastAsia="黑体" w:cs="Times New Roman"/>
                <w:bCs/>
                <w:color w:val="000000" w:themeColor="text1"/>
                <w:kern w:val="0"/>
                <w:sz w:val="24"/>
                <w:szCs w:val="24"/>
                <w:lang w:bidi="ar"/>
                <w14:textFill>
                  <w14:solidFill>
                    <w14:schemeClr w14:val="tx1"/>
                  </w14:solidFill>
                </w14:textFill>
              </w:rPr>
              <w:t>支撑项目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eastAsia="黑体" w:cs="Times New Roman"/>
                <w:bCs/>
                <w:color w:val="000000" w:themeColor="text1"/>
                <w:sz w:val="24"/>
                <w:szCs w:val="24"/>
                <w14:textFill>
                  <w14:solidFill>
                    <w14:schemeClr w14:val="tx1"/>
                  </w14:solidFill>
                </w14:textFill>
              </w:rPr>
            </w:pPr>
            <w:r>
              <w:rPr>
                <w:rFonts w:hint="default" w:ascii="Times New Roman" w:hAnsi="Times New Roman" w:eastAsia="黑体" w:cs="Times New Roman"/>
                <w:bCs/>
                <w:color w:val="000000" w:themeColor="text1"/>
                <w:kern w:val="0"/>
                <w:sz w:val="24"/>
                <w:szCs w:val="24"/>
                <w:lang w:bidi="ar"/>
                <w14:textFill>
                  <w14:solidFill>
                    <w14:schemeClr w14:val="tx1"/>
                  </w14:solidFill>
                </w14:textFill>
              </w:rPr>
              <w:t>建设重点</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eastAsia="黑体" w:cs="Times New Roman"/>
                <w:bCs/>
                <w:color w:val="000000" w:themeColor="text1"/>
                <w:sz w:val="24"/>
                <w:szCs w:val="24"/>
                <w14:textFill>
                  <w14:solidFill>
                    <w14:schemeClr w14:val="tx1"/>
                  </w14:solidFill>
                </w14:textFill>
              </w:rPr>
            </w:pPr>
            <w:r>
              <w:rPr>
                <w:rFonts w:hint="default" w:ascii="Times New Roman" w:hAnsi="Times New Roman" w:eastAsia="黑体" w:cs="Times New Roman"/>
                <w:bCs/>
                <w:color w:val="000000" w:themeColor="text1"/>
                <w:kern w:val="0"/>
                <w:sz w:val="24"/>
                <w:szCs w:val="24"/>
                <w:lang w:bidi="ar"/>
                <w14:textFill>
                  <w14:solidFill>
                    <w14:schemeClr w14:val="tx1"/>
                  </w14:solidFill>
                </w14:textFill>
              </w:rPr>
              <w:t>预计投入</w:t>
            </w:r>
          </w:p>
        </w:tc>
      </w:tr>
      <w:tr>
        <w:tblPrEx>
          <w:tblCellMar>
            <w:top w:w="0" w:type="dxa"/>
            <w:left w:w="0" w:type="dxa"/>
            <w:bottom w:w="0" w:type="dxa"/>
            <w:right w:w="0" w:type="dxa"/>
          </w:tblCellMar>
        </w:tblPrEx>
        <w:trPr>
          <w:trHeight w:val="459" w:hRule="atLeast"/>
        </w:trPr>
        <w:tc>
          <w:tcPr>
            <w:tcW w:w="635" w:type="pct"/>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黑土地保护工程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黑土保护行动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lang w:eastAsia="zh-CN"/>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重点推广秸秆覆盖还田免耕和秸秆覆盖还田少耕两种保护性耕作技术类型</w:t>
            </w:r>
            <w:r>
              <w:rPr>
                <w:rFonts w:hint="default" w:ascii="Times New Roman" w:hAnsi="Times New Roman" w:cs="Times New Roman" w:eastAsiaTheme="minorEastAsia"/>
                <w:color w:val="000000" w:themeColor="text1"/>
                <w:kern w:val="0"/>
                <w:sz w:val="22"/>
                <w:szCs w:val="22"/>
                <w:lang w:eastAsia="zh-CN" w:bidi="ar"/>
                <w14:textFill>
                  <w14:solidFill>
                    <w14:schemeClr w14:val="tx1"/>
                  </w14:solidFill>
                </w14:textFill>
              </w:rPr>
              <w:t>。</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25000</w:t>
            </w:r>
          </w:p>
        </w:tc>
      </w:tr>
      <w:tr>
        <w:tblPrEx>
          <w:tblCellMar>
            <w:top w:w="0" w:type="dxa"/>
            <w:left w:w="0" w:type="dxa"/>
            <w:bottom w:w="0" w:type="dxa"/>
            <w:right w:w="0" w:type="dxa"/>
          </w:tblCellMar>
        </w:tblPrEx>
        <w:trPr>
          <w:trHeight w:val="1215" w:hRule="atLeast"/>
        </w:trPr>
        <w:tc>
          <w:tcPr>
            <w:tcW w:w="635" w:type="pct"/>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绿色高效技术模式行动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扩大绿色增产增效技术覆盖面，推广秸秆覆盖还田免耕技术，到2025年，在适宜区域保护性耕作面积达到4万亩以上。持续推广测土配方施肥、生物防治、统防统治等绿色防控技术措施，2025年实现测土配方施肥面积60万亩、水稻稻瘟病生物统防统治面积5万亩、赤眼蜂防螟面积6万亩。</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734"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高标准农田强化建设工程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高标准农田建设项目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在拉法街、前进乡、白石山镇等10个乡镇街建设高标准农田42万亩，切实达到藏粮于地目标，保证粮食安全</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50000</w:t>
            </w:r>
          </w:p>
        </w:tc>
      </w:tr>
      <w:tr>
        <w:tblPrEx>
          <w:tblCellMar>
            <w:top w:w="0" w:type="dxa"/>
            <w:left w:w="0" w:type="dxa"/>
            <w:bottom w:w="0" w:type="dxa"/>
            <w:right w:w="0" w:type="dxa"/>
          </w:tblCellMar>
        </w:tblPrEx>
        <w:trPr>
          <w:trHeight w:val="84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4</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“百乡千万”高标准农田建设行动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选择重点乡镇建设高标准农田集中连片区，形成旱涝稳产、绿色生态、适宜全程机械化作业的现代粮食生产核心基地</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1051"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5</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高标准农田配套设施建设行动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配套完善农田排灌设施、机耕道路、农田林网、输配电设施、农机具存放设施，培肥地力、改良土壤。</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46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6</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农田建设标准体系</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b w:val="0"/>
                <w:bCs w:val="0"/>
                <w:color w:val="000000" w:themeColor="text1"/>
                <w:kern w:val="0"/>
                <w:sz w:val="22"/>
                <w:szCs w:val="22"/>
                <w:highlight w:val="none"/>
                <w:lang w:bidi="ar"/>
                <w14:textFill>
                  <w14:solidFill>
                    <w14:schemeClr w14:val="tx1"/>
                  </w14:solidFill>
                </w14:textFill>
              </w:rPr>
              <w:t>开展标准编制，</w:t>
            </w:r>
            <w:r>
              <w:rPr>
                <w:rFonts w:hint="default" w:ascii="Times New Roman" w:hAnsi="Times New Roman" w:cs="Times New Roman" w:eastAsiaTheme="minorEastAsia"/>
                <w:b w:val="0"/>
                <w:bCs w:val="0"/>
                <w:color w:val="000000" w:themeColor="text1"/>
                <w:kern w:val="0"/>
                <w:sz w:val="22"/>
                <w:szCs w:val="22"/>
                <w:highlight w:val="none"/>
                <w:lang w:val="en-US" w:eastAsia="zh-CN" w:bidi="ar"/>
                <w14:textFill>
                  <w14:solidFill>
                    <w14:schemeClr w14:val="tx1"/>
                  </w14:solidFill>
                </w14:textFill>
              </w:rPr>
              <w:t>因地制宜</w:t>
            </w:r>
            <w:r>
              <w:rPr>
                <w:rFonts w:hint="default" w:ascii="Times New Roman" w:hAnsi="Times New Roman" w:cs="Times New Roman" w:eastAsiaTheme="minorEastAsia"/>
                <w:b w:val="0"/>
                <w:bCs w:val="0"/>
                <w:color w:val="000000" w:themeColor="text1"/>
                <w:kern w:val="0"/>
                <w:sz w:val="22"/>
                <w:szCs w:val="22"/>
                <w:highlight w:val="none"/>
                <w:lang w:bidi="ar"/>
                <w14:textFill>
                  <w14:solidFill>
                    <w14:schemeClr w14:val="tx1"/>
                  </w14:solidFill>
                </w14:textFill>
              </w:rPr>
              <w:t>构建一套适宜蛟河</w:t>
            </w:r>
            <w:r>
              <w:rPr>
                <w:rFonts w:hint="default" w:ascii="Times New Roman" w:hAnsi="Times New Roman" w:cs="Times New Roman" w:eastAsiaTheme="minorEastAsia"/>
                <w:b w:val="0"/>
                <w:bCs w:val="0"/>
                <w:color w:val="000000" w:themeColor="text1"/>
                <w:kern w:val="0"/>
                <w:sz w:val="22"/>
                <w:szCs w:val="22"/>
                <w:highlight w:val="none"/>
                <w:lang w:val="en-US" w:eastAsia="zh-CN" w:bidi="ar"/>
                <w14:textFill>
                  <w14:solidFill>
                    <w14:schemeClr w14:val="tx1"/>
                  </w14:solidFill>
                </w14:textFill>
              </w:rPr>
              <w:t>市</w:t>
            </w:r>
            <w:r>
              <w:rPr>
                <w:rFonts w:hint="default" w:ascii="Times New Roman" w:hAnsi="Times New Roman" w:cs="Times New Roman" w:eastAsiaTheme="minorEastAsia"/>
                <w:b w:val="0"/>
                <w:bCs w:val="0"/>
                <w:color w:val="000000" w:themeColor="text1"/>
                <w:kern w:val="0"/>
                <w:sz w:val="22"/>
                <w:szCs w:val="22"/>
                <w:highlight w:val="none"/>
                <w:lang w:bidi="ar"/>
                <w14:textFill>
                  <w14:solidFill>
                    <w14:schemeClr w14:val="tx1"/>
                  </w14:solidFill>
                </w14:textFill>
              </w:rPr>
              <w:t>发展的高标准农田建设体系。</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460"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农村一二三产业融合工程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7</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长白山特产品加工建设行动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鼓励支持企业对蛟河市农产品开展食品研发、加工项目</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4500</w:t>
            </w:r>
          </w:p>
        </w:tc>
      </w:tr>
      <w:tr>
        <w:tblPrEx>
          <w:tblCellMar>
            <w:top w:w="0" w:type="dxa"/>
            <w:left w:w="0" w:type="dxa"/>
            <w:bottom w:w="0" w:type="dxa"/>
            <w:right w:w="0" w:type="dxa"/>
          </w:tblCellMar>
        </w:tblPrEx>
        <w:trPr>
          <w:trHeight w:val="1264"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8</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农村一二三产业融合新载体建设计划</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创建市级以上现代农业产业园4个，特色农产品优势区3个，产业强镇2个。加快特色小镇建设，重点推进庆岭冰酒小镇、天岗花岗岩小镇、黄松甸食用菌小镇、前进森林康养小镇及祥颐田园综合体等园区建设。</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1333"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可持续农业绿色发展工程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9</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农业废弃物利用（处理）体系建设</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全市推进农作物秸秆综合利用、农药包装废弃物回收处理、废旧农膜和肥料包装物回收利用（处理）体系等基础设施、生产设施设备建设，开展养殖和屠宰环节无害化处理</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30000</w:t>
            </w:r>
          </w:p>
        </w:tc>
      </w:tr>
      <w:tr>
        <w:tblPrEx>
          <w:tblCellMar>
            <w:top w:w="0" w:type="dxa"/>
            <w:left w:w="0" w:type="dxa"/>
            <w:bottom w:w="0" w:type="dxa"/>
            <w:right w:w="0" w:type="dxa"/>
          </w:tblCellMar>
        </w:tblPrEx>
        <w:trPr>
          <w:trHeight w:val="751"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10</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化肥农药减量及绿色防控技术示范</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推广应用商品有机肥，组织开展信息化智能监测预警系统和示范区建设，减少化肥农药使用量</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89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11</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肥料生产项目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highlight w:val="yellow"/>
                <w14:textFill>
                  <w14:solidFill>
                    <w14:schemeClr w14:val="tx1"/>
                  </w14:solidFill>
                </w14:textFill>
              </w:rPr>
            </w:pPr>
            <w:r>
              <w:rPr>
                <w:rFonts w:hint="default" w:ascii="Times New Roman" w:hAnsi="Times New Roman" w:cs="Times New Roman" w:eastAsiaTheme="minorEastAsia"/>
                <w:color w:val="000000" w:themeColor="text1"/>
                <w:kern w:val="0"/>
                <w:sz w:val="22"/>
                <w:szCs w:val="22"/>
                <w:highlight w:val="none"/>
                <w:lang w:bidi="ar"/>
                <w14:textFill>
                  <w14:solidFill>
                    <w14:schemeClr w14:val="tx1"/>
                  </w14:solidFill>
                </w14:textFill>
              </w:rPr>
              <w:t>推进有机化学国家重点实验室在蛟河</w:t>
            </w:r>
            <w:r>
              <w:rPr>
                <w:rFonts w:hint="default" w:ascii="Times New Roman" w:hAnsi="Times New Roman" w:cs="Times New Roman" w:eastAsiaTheme="minorEastAsia"/>
                <w:color w:val="000000" w:themeColor="text1"/>
                <w:kern w:val="0"/>
                <w:sz w:val="22"/>
                <w:szCs w:val="22"/>
                <w:highlight w:val="none"/>
                <w:lang w:val="en-US" w:eastAsia="zh-CN" w:bidi="ar"/>
                <w14:textFill>
                  <w14:solidFill>
                    <w14:schemeClr w14:val="tx1"/>
                  </w14:solidFill>
                </w14:textFill>
              </w:rPr>
              <w:t>市</w:t>
            </w:r>
            <w:r>
              <w:rPr>
                <w:rFonts w:hint="default" w:ascii="Times New Roman" w:hAnsi="Times New Roman" w:cs="Times New Roman" w:eastAsiaTheme="minorEastAsia"/>
                <w:color w:val="000000" w:themeColor="text1"/>
                <w:kern w:val="0"/>
                <w:sz w:val="22"/>
                <w:szCs w:val="22"/>
                <w:highlight w:val="none"/>
                <w:lang w:bidi="ar"/>
                <w14:textFill>
                  <w14:solidFill>
                    <w14:schemeClr w14:val="tx1"/>
                  </w14:solidFill>
                </w14:textFill>
              </w:rPr>
              <w:t>开展科技成果转化应用项目。</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46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现代生态循环农业示范创建</w:t>
            </w:r>
          </w:p>
        </w:tc>
        <w:tc>
          <w:tcPr>
            <w:tcW w:w="252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推进生态循环农业示范建设，支持推广新型种养和资源循环利用模式</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556"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畜牧业优质安全提升工程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13</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畜牧业转型升级</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开展标准化牧场建设，促进畜牧业规模化、生态化、标准化、特色化和产业化发展</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50000</w:t>
            </w:r>
          </w:p>
        </w:tc>
      </w:tr>
      <w:tr>
        <w:trPr>
          <w:trHeight w:val="89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14</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“无抗养殖”示范行动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实施畜产品质量安全提升计划，扩大“无抗养殖”试点示范，推广普及科学养殖技术，提升全程可追溯能力</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89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15</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特色畜牧业培育行动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加快发展特色黑猪等产业，开发鹿地方特色品种，加强特色动物种源保护和繁育，推进建设标准化人工养殖基地建设。</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616"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优势特色产业壮大工程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16</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现代农业产业提升行动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开展现代农业生产基础设施建设、设备配套和技术推广，促进农业主导产业升级和转型发展。</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53000</w:t>
            </w:r>
          </w:p>
        </w:tc>
      </w:tr>
      <w:tr>
        <w:tblPrEx>
          <w:tblCellMar>
            <w:top w:w="0" w:type="dxa"/>
            <w:left w:w="0" w:type="dxa"/>
            <w:bottom w:w="0" w:type="dxa"/>
            <w:right w:w="0" w:type="dxa"/>
          </w:tblCellMar>
        </w:tblPrEx>
        <w:trPr>
          <w:trHeight w:val="61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17</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特色农产品生产集聚项目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重点以黑木耳、晒烟特色农产品优势区为核心，加强生产、加工、物流等基地建设，强化品牌建设。</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511"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18</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优势产业引导行动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引导优势产业向优势主产区域集中，打造形成一批龙头引领、链条完善、集约发展的优势特色产业集群。</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918"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19</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优势特色农产品专业市场建设项目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依托黑木耳、灵芝、粘玉米、中药材、晒烟、洋菇娘、三瓜、棚膜蔬菜、蓝莓、山野菜等优势特色产业，建设优势特色农产品专业市场，推动特色专业市场集群发展，支持区域性标准化瓜菜批发市场项目建设</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993"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农产品品牌建设工程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20</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区域公用品牌培育行动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加强黑木耳区域公用品牌扶持力度，通过规划设计、媒体宣传、产销对接、政策支持等多种途径对灵芝、粘玉米、中药材、晒烟、洋菇娘、三瓜、棚膜蔬菜、蓝莓、山野菜品牌加强培育。</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8000</w:t>
            </w:r>
          </w:p>
        </w:tc>
      </w:tr>
      <w:tr>
        <w:tblPrEx>
          <w:tblCellMar>
            <w:top w:w="0" w:type="dxa"/>
            <w:left w:w="0" w:type="dxa"/>
            <w:bottom w:w="0" w:type="dxa"/>
            <w:right w:w="0" w:type="dxa"/>
          </w:tblCellMar>
        </w:tblPrEx>
        <w:trPr>
          <w:trHeight w:val="46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21</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品牌标准化管理项目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构建蛟河品牌标准化管理体系，防止品牌滥用。</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46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22</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地理标识培育行动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强化对独具地理特色的农产品的品牌培育，创建地理标识。</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460"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数字农业和科技创新工程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23</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农业物联网示范</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开展农业物联网示范点建设，推进智慧农业生产</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28000</w:t>
            </w:r>
          </w:p>
        </w:tc>
      </w:tr>
      <w:tr>
        <w:tblPrEx>
          <w:tblCellMar>
            <w:top w:w="0" w:type="dxa"/>
            <w:left w:w="0" w:type="dxa"/>
            <w:bottom w:w="0" w:type="dxa"/>
            <w:right w:w="0" w:type="dxa"/>
          </w:tblCellMar>
        </w:tblPrEx>
        <w:trPr>
          <w:trHeight w:val="40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24</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农村电子商务及信息进村入户行</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建设数字化农业信息服务中心、村级农业信息站点和区域性农业电商平台</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918"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25</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“5G+智慧农业”示范行动。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围绕种植业、养殖业等重点领域和特色产业，建设一批特色鲜明的5G农业应用示范基地。推进5G与农业大数据、人工智能、机器人技术和装备在农业生产中的融合应用，打造一批生态智慧基地和农场。</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89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26</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特色产业数字化管理平台建设行动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建设食用菌、梅花鹿等特色产业领域单品种大数据服务平台及应用推广</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46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27</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现代种业提升项目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扶持培育“育繁推”一体化种子企业和具有自主知识产权的特色新品种</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588"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农村基础设施建设工程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28</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“百兆乡村”示范及配套支撑项目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支持乡村具备100M网络接入能力、支持5G网络对重点乡镇配套。</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65000</w:t>
            </w:r>
          </w:p>
        </w:tc>
      </w:tr>
      <w:tr>
        <w:tblPrEx>
          <w:tblCellMar>
            <w:top w:w="0" w:type="dxa"/>
            <w:left w:w="0" w:type="dxa"/>
            <w:bottom w:w="0" w:type="dxa"/>
            <w:right w:w="0" w:type="dxa"/>
          </w:tblCellMar>
        </w:tblPrEx>
        <w:trPr>
          <w:trHeight w:val="60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29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设施农业建设</w:t>
            </w:r>
          </w:p>
        </w:tc>
        <w:tc>
          <w:tcPr>
            <w:tcW w:w="252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对钢架大棚、玻璃温室等设施农业设备建设进行扶持</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95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30</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新型农村社区建设试点行动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探索利用城乡建设用地增减挂钩、乡村振兴专项债券等政策，引导村屯集中建居，按照村庄规划统一建设，形成新型农村社区。</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83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31</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农村基础设施提升行动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完善农村水、电、公路、燃气等基础设施。</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899"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新主体培育工程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32</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新型职业农民和基层农技人员培训项目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组织开展新型职业农民培训、农民中等职业教育及基层农技人员集中轮训</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800</w:t>
            </w:r>
          </w:p>
        </w:tc>
      </w:tr>
      <w:tr>
        <w:tblPrEx>
          <w:tblCellMar>
            <w:top w:w="0" w:type="dxa"/>
            <w:left w:w="0" w:type="dxa"/>
            <w:bottom w:w="0" w:type="dxa"/>
            <w:right w:w="0" w:type="dxa"/>
          </w:tblCellMar>
        </w:tblPrEx>
        <w:trPr>
          <w:trHeight w:val="1034"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33</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新型农业主体培育行动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支持家庭农场、合作社改善生产和服务设施；支持农业龙头企业做强做大，开展全产业链建设；扶持大学毕业生从事现代农业生产经营</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1034"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34</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农业社会化服务促进行动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对从事统一育供秧、统防统治、代耕代收等生产性社会化服务组织进行扶持</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768"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35</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农民专业合作社治理提升行动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实施国家和省市县级示范社四级联创。</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631"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36</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家庭农场培育计划</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把符合条件的种养大户、专业大户纳入家庭农场范围。家庭农场经营者至少每三年轮训一次。</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646"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37</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农业社会化服务体系建设行动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推进“龙头企业+合作社+基地”模式发展，推广土地托管、土地入股、代耕代种等模式。</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r>
      <w:tr>
        <w:tblPrEx>
          <w:tblCellMar>
            <w:top w:w="0" w:type="dxa"/>
            <w:left w:w="0" w:type="dxa"/>
            <w:bottom w:w="0" w:type="dxa"/>
            <w:right w:w="0" w:type="dxa"/>
          </w:tblCellMar>
        </w:tblPrEx>
        <w:trPr>
          <w:trHeight w:val="642"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农村人居环境整治工程</w:t>
            </w: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38</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“三清一改一建”落实行动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创建一批高标准农村人居环境示范村。</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ind w:firstLine="0" w:firstLineChars="0"/>
              <w:jc w:val="center"/>
              <w:textAlignment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3000</w:t>
            </w:r>
          </w:p>
        </w:tc>
      </w:tr>
      <w:tr>
        <w:tblPrEx>
          <w:tblCellMar>
            <w:top w:w="0" w:type="dxa"/>
            <w:left w:w="0" w:type="dxa"/>
            <w:bottom w:w="0" w:type="dxa"/>
            <w:right w:w="0" w:type="dxa"/>
          </w:tblCellMar>
        </w:tblPrEx>
        <w:trPr>
          <w:trHeight w:val="65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39</w:t>
            </w:r>
          </w:p>
        </w:tc>
        <w:tc>
          <w:tcPr>
            <w:tcW w:w="1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乡村绿化行动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开展村屯街巷和庭院绿化，建设绿色生态村庄</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eastAsia="宋体" w:cs="Times New Roman"/>
                <w:color w:val="000000" w:themeColor="text1"/>
                <w:sz w:val="22"/>
                <w14:textFill>
                  <w14:solidFill>
                    <w14:schemeClr w14:val="tx1"/>
                  </w14:solidFill>
                </w14:textFill>
              </w:rPr>
            </w:pPr>
          </w:p>
        </w:tc>
      </w:tr>
      <w:tr>
        <w:tblPrEx>
          <w:tblCellMar>
            <w:top w:w="0" w:type="dxa"/>
            <w:left w:w="0" w:type="dxa"/>
            <w:bottom w:w="0" w:type="dxa"/>
            <w:right w:w="0" w:type="dxa"/>
          </w:tblCellMar>
        </w:tblPrEx>
        <w:trPr>
          <w:trHeight w:val="9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40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人居环境整治行动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对行政村给予资金配套，专项开展农村人居环境整治。实行城乡环卫一体化和全域生活垃圾统一处理</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eastAsia="宋体" w:cs="Times New Roman"/>
                <w:color w:val="000000" w:themeColor="text1"/>
                <w:sz w:val="22"/>
                <w14:textFill>
                  <w14:solidFill>
                    <w14:schemeClr w14:val="tx1"/>
                  </w14:solidFill>
                </w14:textFill>
              </w:rPr>
            </w:pPr>
          </w:p>
        </w:tc>
      </w:tr>
      <w:tr>
        <w:tblPrEx>
          <w:tblCellMar>
            <w:top w:w="0" w:type="dxa"/>
            <w:left w:w="0" w:type="dxa"/>
            <w:bottom w:w="0" w:type="dxa"/>
            <w:right w:w="0" w:type="dxa"/>
          </w:tblCellMar>
        </w:tblPrEx>
        <w:trPr>
          <w:trHeight w:val="119"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41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改厕行动</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加大农村户用卫生厕所改造投入和工作力度，探索适合蛟河实际的改厕方式。</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eastAsia="宋体" w:cs="Times New Roman"/>
                <w:color w:val="000000" w:themeColor="text1"/>
                <w:sz w:val="22"/>
                <w14:textFill>
                  <w14:solidFill>
                    <w14:schemeClr w14:val="tx1"/>
                  </w14:solidFill>
                </w14:textFill>
              </w:rPr>
            </w:pPr>
          </w:p>
        </w:tc>
      </w:tr>
      <w:tr>
        <w:tblPrEx>
          <w:tblCellMar>
            <w:top w:w="0" w:type="dxa"/>
            <w:left w:w="0" w:type="dxa"/>
            <w:bottom w:w="0" w:type="dxa"/>
            <w:right w:w="0" w:type="dxa"/>
          </w:tblCellMar>
        </w:tblPrEx>
        <w:trPr>
          <w:trHeight w:val="291"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240" w:lineRule="auto"/>
              <w:ind w:firstLine="0" w:firstLineChars="0"/>
              <w:jc w:val="center"/>
              <w:rPr>
                <w:rFonts w:hint="default" w:ascii="Times New Roman" w:hAnsi="Times New Roman" w:cs="Times New Roman" w:eastAsiaTheme="minorEastAsia"/>
                <w:color w:val="000000" w:themeColor="text1"/>
                <w:sz w:val="22"/>
                <w:szCs w:val="22"/>
                <w14:textFill>
                  <w14:solidFill>
                    <w14:schemeClr w14:val="tx1"/>
                  </w14:solidFill>
                </w14:textFill>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42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生活污水治理项目</w:t>
            </w:r>
          </w:p>
        </w:tc>
        <w:tc>
          <w:tcPr>
            <w:tcW w:w="25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240" w:lineRule="auto"/>
              <w:ind w:firstLine="0" w:firstLineChars="0"/>
              <w:jc w:val="left"/>
              <w:textAlignment w:val="center"/>
              <w:rPr>
                <w:rFonts w:hint="default" w:ascii="Times New Roman" w:hAnsi="Times New Roman" w:cs="Times New Roman" w:eastAsiaTheme="minorEastAsia"/>
                <w:color w:val="000000" w:themeColor="text1"/>
                <w:sz w:val="22"/>
                <w:szCs w:val="22"/>
                <w14:textFill>
                  <w14:solidFill>
                    <w14:schemeClr w14:val="tx1"/>
                  </w14:solidFill>
                </w14:textFill>
              </w:rPr>
            </w:pPr>
            <w:r>
              <w:rPr>
                <w:rFonts w:hint="default" w:ascii="Times New Roman" w:hAnsi="Times New Roman" w:cs="Times New Roman" w:eastAsiaTheme="minorEastAsia"/>
                <w:color w:val="000000" w:themeColor="text1"/>
                <w:kern w:val="0"/>
                <w:sz w:val="22"/>
                <w:szCs w:val="22"/>
                <w:lang w:bidi="ar"/>
                <w14:textFill>
                  <w14:solidFill>
                    <w14:schemeClr w14:val="tx1"/>
                  </w14:solidFill>
                </w14:textFill>
              </w:rPr>
              <w:t>开展重点镇和重点流域常住人口1万人以上乡镇生活污水治理任务，开展农村生活污水治理示范县建设，基本消除农村黑臭水体。</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0" w:firstLineChars="0"/>
              <w:jc w:val="center"/>
              <w:rPr>
                <w:rFonts w:hint="default" w:ascii="Times New Roman" w:hAnsi="Times New Roman" w:eastAsia="宋体" w:cs="Times New Roman"/>
                <w:color w:val="000000" w:themeColor="text1"/>
                <w:sz w:val="22"/>
                <w14:textFill>
                  <w14:solidFill>
                    <w14:schemeClr w14:val="tx1"/>
                  </w14:solidFill>
                </w14:textFill>
              </w:rPr>
            </w:pPr>
          </w:p>
        </w:tc>
      </w:tr>
    </w:tbl>
    <w:p>
      <w:pPr>
        <w:tabs>
          <w:tab w:val="left" w:pos="5179"/>
        </w:tabs>
        <w:ind w:firstLine="0" w:firstLineChars="0"/>
        <w:jc w:val="left"/>
        <w:rPr>
          <w:rFonts w:hint="default" w:ascii="Times New Roman" w:hAnsi="Times New Roman" w:eastAsia="仿宋_GB2312" w:cs="Times New Roman"/>
          <w:b w:val="0"/>
          <w:i w:val="0"/>
          <w:color w:val="000000" w:themeColor="text1"/>
          <w:sz w:val="32"/>
          <w14:textFill>
            <w14:solidFill>
              <w14:schemeClr w14:val="tx1"/>
            </w14:solidFill>
          </w14:textFill>
        </w:rPr>
        <w:sectPr>
          <w:pgSz w:w="16838" w:h="11906" w:orient="landscape"/>
          <w:pgMar w:top="1800" w:right="1440" w:bottom="1800" w:left="1440" w:header="851" w:footer="992" w:gutter="0"/>
          <w:pgNumType w:fmt="decimal"/>
          <w:cols w:space="425" w:num="1"/>
          <w:docGrid w:type="lines" w:linePitch="312" w:charSpace="0"/>
        </w:sectPr>
      </w:pPr>
    </w:p>
    <w:p>
      <w:pPr>
        <w:ind w:left="0" w:leftChars="0" w:firstLine="0" w:firstLineChars="0"/>
        <w:rPr>
          <w:rFonts w:hint="default" w:ascii="Times New Roman" w:hAnsi="Times New Roman" w:cs="Times New Roman"/>
          <w:lang w:val="en-US" w:eastAsia="zh-CN"/>
        </w:rPr>
      </w:pPr>
    </w:p>
    <w:p>
      <w:pPr>
        <w:bidi w:val="0"/>
        <w:rPr>
          <w:rFonts w:hint="default" w:eastAsia="仿宋" w:asciiTheme="minorHAnsi" w:hAnsiTheme="minorHAnsi" w:cstheme="minorBidi"/>
          <w:kern w:val="2"/>
          <w:sz w:val="28"/>
          <w:szCs w:val="22"/>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left="0" w:leftChars="0" w:firstLine="0" w:firstLineChars="0"/>
        <w:rPr>
          <w:rFonts w:hint="default"/>
          <w:lang w:val="en-US" w:eastAsia="zh-CN"/>
        </w:rPr>
      </w:pPr>
    </w:p>
    <w:p>
      <w:pPr>
        <w:pStyle w:val="23"/>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bottom"/>
        <w:rPr>
          <w:rFonts w:hint="eastAsia" w:ascii="仿宋_GB2312" w:hAnsi="仿宋_GB2312" w:eastAsia="仿宋_GB2312" w:cs="仿宋_GB2312"/>
          <w:snapToGrid w:val="0"/>
          <w:sz w:val="28"/>
          <w:szCs w:val="28"/>
        </w:rPr>
      </w:pPr>
      <w:r>
        <w:rPr>
          <w:rFonts w:hint="eastAsia"/>
          <w:lang w:val="en-US" w:eastAsia="zh-CN"/>
        </w:rPr>
        <w:tab/>
      </w:r>
    </w:p>
    <w:p>
      <w:pPr>
        <w:pStyle w:val="23"/>
        <w:tabs>
          <w:tab w:val="left" w:pos="6005"/>
        </w:tabs>
        <w:ind w:left="0" w:leftChars="0" w:firstLine="0" w:firstLineChars="0"/>
        <w:rPr>
          <w:rFonts w:hint="eastAsia" w:eastAsia="仿宋_GB2312"/>
          <w:sz w:val="28"/>
          <w:szCs w:val="28"/>
          <w:lang w:eastAsia="zh-CN"/>
        </w:rPr>
      </w:pPr>
      <w:r>
        <w:rPr>
          <w:rFonts w:hint="eastAsia" w:eastAsia="仿宋_GB2312"/>
          <w:sz w:val="28"/>
          <w:szCs w:val="28"/>
          <w:lang w:eastAsia="zh-CN"/>
        </w:rPr>
        <w:tab/>
      </w:r>
    </w:p>
    <w:p>
      <w:pPr>
        <w:pStyle w:val="23"/>
        <w:ind w:left="0" w:leftChars="0" w:firstLine="0" w:firstLineChars="0"/>
        <w:rPr>
          <w:rFonts w:eastAsia="仿宋_GB2312"/>
          <w:sz w:val="28"/>
          <w:szCs w:val="28"/>
        </w:rPr>
      </w:pPr>
    </w:p>
    <w:p>
      <w:pPr>
        <w:pStyle w:val="23"/>
        <w:keepNext w:val="0"/>
        <w:keepLines w:val="0"/>
        <w:pageBreakBefore w:val="0"/>
        <w:widowControl w:val="0"/>
        <w:kinsoku/>
        <w:wordWrap/>
        <w:overflowPunct/>
        <w:topLinePunct w:val="0"/>
        <w:autoSpaceDE/>
        <w:autoSpaceDN/>
        <w:bidi w:val="0"/>
        <w:adjustRightInd/>
        <w:snapToGrid/>
        <w:spacing w:line="560" w:lineRule="exact"/>
        <w:ind w:left="1229" w:leftChars="139" w:hanging="840" w:hangingChars="300"/>
        <w:textAlignment w:val="bottom"/>
        <w:rPr>
          <w:rFonts w:hint="eastAsia" w:ascii="仿宋_GB2312" w:hAnsi="仿宋_GB2312" w:eastAsia="仿宋_GB2312" w:cs="仿宋_GB2312"/>
          <w:snapToGrid w:val="0"/>
          <w:sz w:val="28"/>
          <w:szCs w:val="28"/>
        </w:rPr>
      </w:pPr>
      <w:r>
        <w:rPr>
          <w:sz w:val="28"/>
        </w:rPr>
        <mc:AlternateContent>
          <mc:Choice Requires="wpg">
            <w:drawing>
              <wp:anchor distT="0" distB="0" distL="114300" distR="114300" simplePos="0" relativeHeight="251662336" behindDoc="0" locked="0" layoutInCell="1" allowOverlap="1">
                <wp:simplePos x="0" y="0"/>
                <wp:positionH relativeFrom="column">
                  <wp:posOffset>-4445</wp:posOffset>
                </wp:positionH>
                <wp:positionV relativeFrom="paragraph">
                  <wp:posOffset>2540</wp:posOffset>
                </wp:positionV>
                <wp:extent cx="5614035" cy="1447165"/>
                <wp:effectExtent l="0" t="6350" r="5715" b="13335"/>
                <wp:wrapNone/>
                <wp:docPr id="14" name="组合 14"/>
                <wp:cNvGraphicFramePr/>
                <a:graphic xmlns:a="http://schemas.openxmlformats.org/drawingml/2006/main">
                  <a:graphicData uri="http://schemas.microsoft.com/office/word/2010/wordprocessingGroup">
                    <wpg:wgp>
                      <wpg:cNvGrpSpPr/>
                      <wpg:grpSpPr>
                        <a:xfrm>
                          <a:off x="0" y="0"/>
                          <a:ext cx="5614035" cy="1447165"/>
                          <a:chOff x="2088" y="29830"/>
                          <a:chExt cx="8841" cy="2279"/>
                        </a:xfrm>
                      </wpg:grpSpPr>
                      <wps:wsp>
                        <wps:cNvPr id="11" name="直接连接符 11"/>
                        <wps:cNvCnPr/>
                        <wps:spPr>
                          <a:xfrm>
                            <a:off x="2109" y="29830"/>
                            <a:ext cx="8820" cy="0"/>
                          </a:xfrm>
                          <a:prstGeom prst="line">
                            <a:avLst/>
                          </a:prstGeom>
                          <a:ln w="12700" cap="flat" cmpd="sng">
                            <a:solidFill>
                              <a:srgbClr val="000000"/>
                            </a:solidFill>
                            <a:prstDash val="solid"/>
                            <a:headEnd type="none" w="med" len="med"/>
                            <a:tailEnd type="none" w="med" len="med"/>
                          </a:ln>
                        </wps:spPr>
                        <wps:bodyPr upright="1"/>
                      </wps:wsp>
                      <wps:wsp>
                        <wps:cNvPr id="12" name="直接连接符 12"/>
                        <wps:cNvCnPr/>
                        <wps:spPr>
                          <a:xfrm>
                            <a:off x="2094" y="31615"/>
                            <a:ext cx="8820" cy="0"/>
                          </a:xfrm>
                          <a:prstGeom prst="line">
                            <a:avLst/>
                          </a:prstGeom>
                          <a:ln w="9525" cap="flat" cmpd="sng">
                            <a:solidFill>
                              <a:srgbClr val="000000"/>
                            </a:solidFill>
                            <a:prstDash val="solid"/>
                            <a:headEnd type="none" w="med" len="med"/>
                            <a:tailEnd type="none" w="med" len="med"/>
                          </a:ln>
                        </wps:spPr>
                        <wps:bodyPr upright="1"/>
                      </wps:wsp>
                      <wps:wsp>
                        <wps:cNvPr id="13" name="直接连接符 13"/>
                        <wps:cNvCnPr/>
                        <wps:spPr>
                          <a:xfrm>
                            <a:off x="2088" y="32109"/>
                            <a:ext cx="8820" cy="0"/>
                          </a:xfrm>
                          <a:prstGeom prst="line">
                            <a:avLst/>
                          </a:prstGeom>
                          <a:ln w="1270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0.35pt;margin-top:0.2pt;height:113.95pt;width:442.05pt;z-index:251662336;mso-width-relative:page;mso-height-relative:page;" coordorigin="2088,29830" coordsize="8841,2279" o:gfxdata="UEsDBAoAAAAAAIdO4kAAAAAAAAAAAAAAAAAEAAAAZHJzL1BLAwQUAAAACACHTuJAtCNkntcAAAAG&#10;AQAADwAAAGRycy9kb3ducmV2LnhtbE2OzUvDQBTE74L/w/IEb+3mw48Q81KkqKci2AribZu8JqHZ&#10;tyG7Tdr/3udJbzPMMPMrVmfbq4lG3zlGiJcRKOLK1R03CJ+710UGygfDtekdE8KFPKzK66vC5LWb&#10;+YOmbWiUjLDPDUIbwpBr7auWrPFLNxBLdnCjNUHs2Oh6NLOM214nUfSgrelYHloz0Lql6rg9WYS3&#10;2czPafwybY6H9eV7d//+tYkJ8fYmjp5ABTqHvzL84gs6lMK0dyeuveoRFo9SRLgDJWGWpSL2CEmS&#10;paDLQv/HL38AUEsDBBQAAAAIAIdO4kAln7EauwIAADgJAAAOAAAAZHJzL2Uyb0RvYy54bWztVr1u&#10;FDEQ7pF4B8s92Z/7yd4qdylySRoEkQIP4Hi9u5a8tmX7bu96CipEj0QHFSUdBU8D4TEYe/cu4SBS&#10;AgoNXOHzz3g88803M3twuGoEWjJjuZJTnOzFGDFJVcFlNcXPn508yjCyjsiCCCXZFK+ZxYezhw8O&#10;Wp2zVNVKFMwgUCJt3uoprp3TeRRZWrOG2D2lmYTDUpmGOFiaKioMaUF7I6I0jsdRq0yhjaLMWtid&#10;d4e412huo1CVJadsruiiYdJ1Wg0TxIFLtuba4lmwtiwZdU/L0jKHxBSDpy6M8AjML/wYzQ5IXhmi&#10;a057E8htTNjxqSFcwqNbVXPiCFoY/pOqhlOjrCrdHlVN1DkSEAEvkngHm1OjFjr4UuVtpbegQ6B2&#10;UP9ttfTJ8swgXgAThhhJ0kDELz+9+PL6JYINQKfVVQ5Cp0af6zPTb1Tdyju8Kk3j/8EVtAq4rre4&#10;spVDFDZH42QYD0YYUThLhsP9ZDzqkKc1hMffS+MMeAfH6SQb9GGh9XGvIMuGSXc7Tfcn/mq0eTny&#10;Bm7taTWQ0l4hZf8MqfOaaBYCYD0IG6TAlh6pNx+/vnr37fNbGC8/vEdJ0kEWpI9kj5fNLUD3C7DS&#10;JJ7sOr3BLMtS4KgHLKCx9Zfk2lh3ylSD/GSKBZfeRJKT5WPrOmg2In5bSNQC6ul+7PURyNgSMgWm&#10;jYaoW1mFy1YJXpxwIfwVa6qLI2HQkvisCb8e8x/E/CtzYutOLhx1Ua0ZKY5lgdxaA50klBHsbWhY&#10;gZFgUHX8DCwluSNc3EYS3BcSou7j24HpZxeqWENMFtrwqgYoAvpBBjjgqfs3yJDeSIb0bmSIJ5CB&#10;EO9BMk769LgnMkxGqU/G/1y43rjuVEJvKAyDG7kwuCMX+mo4CCUipMo9ceFfLAyhZ0BDDW2kb/6+&#10;Y19fh2Jz9cEz+w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0I2Se1wAAAAYBAAAPAAAAAAAAAAEA&#10;IAAAACIAAABkcnMvZG93bnJldi54bWxQSwECFAAUAAAACACHTuJAJZ+xGrsCAAA4CQAADgAAAAAA&#10;AAABACAAAAAmAQAAZHJzL2Uyb0RvYy54bWxQSwUGAAAAAAYABgBZAQAAUwYAAAAA&#10;">
                <o:lock v:ext="edit" aspectratio="f"/>
                <v:line id="_x0000_s1026" o:spid="_x0000_s1026" o:spt="20" style="position:absolute;left:2109;top:29830;height:0;width:8820;" filled="f" stroked="t" coordsize="21600,21600" o:gfxdata="UEsDBAoAAAAAAIdO4kAAAAAAAAAAAAAAAAAEAAAAZHJzL1BLAwQUAAAACACHTuJAsD1eM7oAAADb&#10;AAAADwAAAGRycy9kb3ducmV2LnhtbEVPS4vCMBC+C/sfwgh707Qe1tI1elDEdfGiFfY6NGNTbSa1&#10;iY/990YQvM3H95zJ7G4bcaXO144VpMMEBHHpdM2Vgn2xHGQgfEDW2DgmBf/kYTb96E0w1+7GW7ru&#10;QiViCPscFZgQ2lxKXxqy6IeuJY7cwXUWQ4RdJXWHtxhuGzlKki9psebYYLCluaHytLtYBbhYbcNf&#10;Nvod12uzORbL88pkZ6U++2nyDSLQPbzFL/ePjvNTeP4SD5DT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PV4z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line id="_x0000_s1026" o:spid="_x0000_s1026" o:spt="20" style="position:absolute;left:2094;top:31615;height:0;width:8820;" filled="f" stroked="t" coordsize="21600,21600" o:gfxdata="UEsDBAoAAAAAAIdO4kAAAAAAAAAAAAAAAAAEAAAAZHJzL1BLAwQUAAAACACHTuJAuKLrRLoAAADb&#10;AAAADwAAAGRycy9kb3ducmV2LnhtbEVPS4vCMBC+C/6HMAt7kTWxgki30cNqYQ978YXXoRnbYjOp&#10;TXysv94Igrf5+J6TzW+2ERfqfO1Yw2ioQBAXztRcathu8q8pCB+QDTaOScM/eZjP+r0MU+OuvKLL&#10;OpQihrBPUUMVQptK6YuKLPqha4kjd3CdxRBhV0rT4TWG20YmSk2kxZpjQ4Ut/VRUHNdnq8HnOzrl&#10;90ExUPtx6Sg5Lf6WqPXnx0h9gwh0C2/xy/1r4vwEnr/EA+Ts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outE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2088;top:32109;height:0;width:8820;" filled="f" stroked="t" coordsize="21600,21600" o:gfxdata="UEsDBAoAAAAAAIdO4kAAAAAAAAAAAAAAAAAEAAAAZHJzL1BLAwQUAAAACACHTuJAL6Nl37oAAADb&#10;AAAADwAAAGRycy9kb3ducmV2LnhtbEVPS4vCMBC+C/sfwizsTVMV1lKNHhTRFS/WBa9DMzbVZlKb&#10;+Pr3G0HY23x8z5nMHrYWN2p95VhBv5eAIC6crrhU8LtfdlMQPiBrrB2Tgid5mE0/OhPMtLvzjm55&#10;KEUMYZ+hAhNCk0npC0MWfc81xJE7utZiiLAtpW7xHsNtLQdJ8i0tVhwbDDY0N1Sc86tVgIvVLhzS&#10;wWZU/Zjtab+8rEx6Uerrs5+MQQR6hH/x273Wcf4QXr/EA+T0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o2Xf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group>
            </w:pict>
          </mc:Fallback>
        </mc:AlternateContent>
      </w:r>
      <w:r>
        <w:rPr>
          <w:rFonts w:hint="eastAsia" w:ascii="仿宋_GB2312" w:hAnsi="仿宋_GB2312" w:eastAsia="仿宋_GB2312" w:cs="仿宋_GB2312"/>
          <w:snapToGrid w:val="0"/>
          <w:sz w:val="28"/>
          <w:szCs w:val="28"/>
        </w:rPr>
        <w:t>抄送：</w:t>
      </w:r>
      <w:r>
        <w:rPr>
          <w:rFonts w:hint="eastAsia" w:ascii="仿宋_GB2312" w:hAnsi="仿宋_GB2312" w:eastAsia="仿宋_GB2312" w:cs="仿宋_GB2312"/>
          <w:sz w:val="28"/>
          <w:szCs w:val="28"/>
          <w:u w:val="none"/>
          <w:lang w:eastAsia="zh-CN"/>
        </w:rPr>
        <w:t>市委各部门，市人大常委会办公室，市政协办公室，市纪委监委办公室，市法院、市检察院，各人民团体，驻蛟各国省</w:t>
      </w:r>
      <w:r>
        <w:rPr>
          <w:rFonts w:hint="eastAsia" w:ascii="仿宋_GB2312" w:hAnsi="仿宋_GB2312" w:eastAsia="仿宋_GB2312" w:cs="仿宋_GB2312"/>
          <w:sz w:val="28"/>
          <w:szCs w:val="28"/>
          <w:u w:val="none"/>
          <w:lang w:val="en-US" w:eastAsia="zh-CN"/>
        </w:rPr>
        <w:t>市</w:t>
      </w:r>
      <w:r>
        <w:rPr>
          <w:rFonts w:hint="eastAsia" w:ascii="仿宋_GB2312" w:hAnsi="仿宋_GB2312" w:eastAsia="仿宋_GB2312" w:cs="仿宋_GB2312"/>
          <w:sz w:val="28"/>
          <w:szCs w:val="28"/>
          <w:u w:val="none"/>
          <w:lang w:eastAsia="zh-CN"/>
        </w:rPr>
        <w:t>营企事业单位。</w:t>
      </w:r>
      <w:r>
        <w:rPr>
          <w:rFonts w:hint="eastAsia" w:ascii="仿宋_GB2312" w:hAnsi="仿宋_GB2312" w:eastAsia="仿宋_GB2312" w:cs="仿宋_GB2312"/>
          <w:snapToGrid w:val="0"/>
          <w:sz w:val="28"/>
          <w:szCs w:val="28"/>
        </w:rPr>
        <w:t xml:space="preserve">    </w:t>
      </w:r>
    </w:p>
    <w:p>
      <w:pPr>
        <w:adjustRightInd w:val="0"/>
        <w:snapToGrid w:val="0"/>
        <w:spacing w:line="560" w:lineRule="exact"/>
        <w:ind w:firstLine="280" w:firstLineChars="100"/>
        <w:rPr>
          <w:rFonts w:hint="default"/>
          <w:lang w:val="en-US" w:eastAsia="zh-CN"/>
        </w:rPr>
      </w:pPr>
      <w:r>
        <w:rPr>
          <w:rFonts w:hint="default" w:ascii="Times New Roman" w:hAnsi="Times New Roman" w:eastAsia="仿宋_GB2312" w:cs="Times New Roman"/>
          <w:snapToGrid w:val="0"/>
          <w:sz w:val="28"/>
          <w:szCs w:val="28"/>
          <w:lang w:eastAsia="zh-CN"/>
        </w:rPr>
        <w:t>蛟河市人民政府办公室</w:t>
      </w:r>
      <w:r>
        <w:rPr>
          <w:rFonts w:hint="default" w:ascii="Times New Roman" w:hAnsi="Times New Roman" w:eastAsia="仿宋_GB2312" w:cs="Times New Roman"/>
          <w:snapToGrid w:val="0"/>
          <w:sz w:val="28"/>
          <w:szCs w:val="28"/>
          <w:lang w:val="en-US" w:eastAsia="zh-CN"/>
        </w:rPr>
        <w:t xml:space="preserve">                    2022年8月16日印发</w:t>
      </w:r>
      <w:r>
        <w:rPr>
          <w:sz w:val="28"/>
        </w:rPr>
        <mc:AlternateContent>
          <mc:Choice Requires="wpg">
            <w:drawing>
              <wp:anchor distT="0" distB="0" distL="114300" distR="114300" simplePos="0" relativeHeight="251661312" behindDoc="0" locked="0" layoutInCell="1" allowOverlap="1">
                <wp:simplePos x="0" y="0"/>
                <wp:positionH relativeFrom="column">
                  <wp:posOffset>304165</wp:posOffset>
                </wp:positionH>
                <wp:positionV relativeFrom="paragraph">
                  <wp:posOffset>7484745</wp:posOffset>
                </wp:positionV>
                <wp:extent cx="5606415" cy="345440"/>
                <wp:effectExtent l="0" t="9525" r="13335" b="26035"/>
                <wp:wrapNone/>
                <wp:docPr id="9" name="组合 9"/>
                <wp:cNvGraphicFramePr/>
                <a:graphic xmlns:a="http://schemas.openxmlformats.org/drawingml/2006/main">
                  <a:graphicData uri="http://schemas.microsoft.com/office/word/2010/wordprocessingGroup">
                    <wpg:wgp>
                      <wpg:cNvGrpSpPr/>
                      <wpg:grpSpPr>
                        <a:xfrm>
                          <a:off x="0" y="0"/>
                          <a:ext cx="5606415" cy="345440"/>
                          <a:chOff x="2214" y="202507"/>
                          <a:chExt cx="8829" cy="544"/>
                        </a:xfrm>
                      </wpg:grpSpPr>
                      <wps:wsp>
                        <wps:cNvPr id="7" name="直接连接符 7"/>
                        <wps:cNvCnPr/>
                        <wps:spPr>
                          <a:xfrm>
                            <a:off x="2214" y="202507"/>
                            <a:ext cx="8820" cy="0"/>
                          </a:xfrm>
                          <a:prstGeom prst="line">
                            <a:avLst/>
                          </a:prstGeom>
                          <a:ln w="19050" cap="flat" cmpd="sng">
                            <a:solidFill>
                              <a:srgbClr val="000000"/>
                            </a:solidFill>
                            <a:prstDash val="solid"/>
                            <a:headEnd type="none" w="med" len="med"/>
                            <a:tailEnd type="none" w="med" len="med"/>
                          </a:ln>
                        </wps:spPr>
                        <wps:bodyPr upright="1"/>
                      </wps:wsp>
                      <wps:wsp>
                        <wps:cNvPr id="8" name="直接连接符 8"/>
                        <wps:cNvCnPr/>
                        <wps:spPr>
                          <a:xfrm>
                            <a:off x="2223" y="203051"/>
                            <a:ext cx="8820" cy="0"/>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23.95pt;margin-top:589.35pt;height:27.2pt;width:441.45pt;z-index:251661312;mso-width-relative:page;mso-height-relative:page;" coordorigin="2214,202507" coordsize="8829,544" o:gfxdata="UEsDBAoAAAAAAIdO4kAAAAAAAAAAAAAAAAAEAAAAZHJzL1BLAwQUAAAACACHTuJAeM9/ndsAAAAM&#10;AQAADwAAAGRycy9kb3ducmV2LnhtbE2PTUvDQBCG74L/YRnBm93dRk0bsylS1FMRbAXxNk2mSWh2&#10;N2S3SfvvHU96nHce3o98dbadGGkIrXcG9EyBIFf6qnW1gc/d690CRIjoKuy8IwMXCrAqrq9yzCo/&#10;uQ8at7EWbOJChgaaGPtMylA2ZDHMfE+Ofwc/WIx8DrWsBpzY3HZyrtSjtNg6Tmiwp3VD5XF7sgbe&#10;JpyeE/0ybo6H9eV79/D+tdFkzO2NVk8gIp3jHwy/9bk6FNxp70+uCqIzcJ8umWRdp4sUBBPLRPGY&#10;PUvzJNEgi1z+H1H8AFBLAwQUAAAACACHTuJAdENwrpUCAAAnBwAADgAAAGRycy9lMm9Eb2MueG1s&#10;7VU9bxMxGN6R+A+Wd3qXa9Kmp146NG0XBJUKP8D1+e4s+WzLdnLJzsCE2JHYYGJkY+DXQPkZvK/v&#10;mkLoEBWJiQyOP18/z/M+fu/4ZNUqshTOS6MLOtpLKRGam1LquqAvX5w/mVLiA9MlU0aLgq6Fpyez&#10;x4+OO5uLzDRGlcIRCKJ93tmCNiHYPEk8b0TL/J6xQsNiZVzLAgxdnZSOdRC9VUmWpgdJZ1xpneHC&#10;e5id94t0iOh2CWiqSnIxN3zRCh36qE4oFoCSb6T1dBbRVpXg4XlVeRGIKigwDbGFS6B/jW0yO2Z5&#10;7ZhtJB8gsF0gbHFqmdRw6SbUnAVGFk7+EaqV3BlvqrDHTZv0RKIiwGKUbmlz4czCRi513tV2Izok&#10;akv1B4flz5aXjsiyoEeUaNZCwm++vPr29jU5Qm06W+ew5cLZK3vphom6HyHdVeVa/AciZBVVXW9U&#10;FatAOExODtKD8WhCCYe1/fFkPB5k5w3kBo9l2WhMCaxmaTZJD/uk8OZsCDCdZgAOT8NZXExuL04Q&#10;3wZOZ8GR/k4m/3cyXTXMiqi+Rw0GmQ43Mr37/P3Nhx9f30N78+kjibARAuw91YNYPveg2z1K3Uv5&#10;VjEgDP5EwlGpDV2WW+fDhTAtwU5BldSIkOVs+dSHXpnbLTitNOngjR+lE4zH4LVW8Eqg21rIuNd1&#10;POyNkuW5VAqPeFdfnypHlgxfTPwNkv+2DW+ZM9/0++JSn7ZGsPJMlySsLXhJQwmhiKEVJSVKQMXB&#10;HiBleWBS7bIT6CsNSUdtezWxd23KNaRkYZ2sG5BiFFEOFkDj/gMvQKUcnsyWF6YIBiHs6IVsf7D/&#10;fjqJRFj+3wv3ueZBXohVAupnLBxDrccC/es4+uvu+zb7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HjPf53bAAAADAEAAA8AAAAAAAAAAQAgAAAAIgAAAGRycy9kb3ducmV2LnhtbFBLAQIUABQAAAAI&#10;AIdO4kB0Q3CulQIAACcHAAAOAAAAAAAAAAEAIAAAACoBAABkcnMvZTJvRG9jLnhtbFBLBQYAAAAA&#10;BgAGAFkBAAAxBgAAAAA=&#10;">
                <o:lock v:ext="edit" aspectratio="f"/>
                <v:line id="_x0000_s1026" o:spid="_x0000_s1026" o:spt="20" style="position:absolute;left:2214;top:202507;height:0;width:8820;" filled="f" stroked="t" coordsize="21600,21600" o:gfxdata="UEsDBAoAAAAAAIdO4kAAAAAAAAAAAAAAAAAEAAAAZHJzL1BLAwQUAAAACACHTuJAvsTPcLwAAADa&#10;AAAADwAAAGRycy9kb3ducmV2LnhtbEWPzWrDMBCE74W+g9hCb42c0CaOG8UQQ6HkVsckOS7Wxja1&#10;VsZS/fP2VaGQ4zAz3zC7dDKtGKh3jWUFy0UEgri0uuFKQXH6eIlBOI+ssbVMCmZykO4fH3aYaDvy&#10;Fw25r0SAsEtQQe19l0jpypoMuoXtiIN3s71BH2RfSd3jGOCmlasoWkuDDYeFGjvKaiq/8x8TKG+X&#10;+HDEuJjnNr9uX7PzcWCj1PPTMnoH4Wny9/B/+1Mr2MDflXAD5P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7Ez3C8AAAA&#10;2g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_x0000_s1026" o:spid="_x0000_s1026" o:spt="20" style="position:absolute;left:2223;top:203051;height:0;width:8820;" filled="f" stroked="t" coordsize="21600,21600" o:gfxdata="UEsDBAoAAAAAAIdO4kAAAAAAAAAAAAAAAAAEAAAAZHJzL1BLAwQUAAAACACHTuJAz1tbArsAAADa&#10;AAAADwAAAGRycy9kb3ducmV2LnhtbEWPwWrCQBCG7wXfYRnBW90otsToKigUxFtTUY9DdkyC2dmQ&#10;3Ubz9s6h0OPwz//NfOvt0zWqpy7Ung3Mpgko4sLbmksDp5+v9xRUiMgWG89kYKAA283obY2Z9Q/+&#10;pj6PpRIIhwwNVDG2mdahqMhhmPqWWLKb7xxGGbtS2w4fAneNnifJp3ZYs1yosKV9RcU9/3VC+bik&#10;uyOmp2Fo8utysT8fe3bGTMazZAUq0jP+L/+1D9aA/CoqogF68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1tbArsAAADa&#10;AAAADwAAAAAAAAABACAAAAAiAAAAZHJzL2Rvd25yZXYueG1sUEsBAhQAFAAAAAgAh07iQDMvBZ47&#10;AAAAOQAAABAAAAAAAAAAAQAgAAAACgEAAGRycy9zaGFwZXhtbC54bWxQSwUGAAAAAAYABgBbAQAA&#10;tAMAAAAA&#10;">
                  <v:fill on="f" focussize="0,0"/>
                  <v:stroke weight="1.5pt" color="#000000" joinstyle="round"/>
                  <v:imagedata o:title=""/>
                  <o:lock v:ext="edit" aspectratio="f"/>
                </v:line>
              </v:group>
            </w:pict>
          </mc:Fallback>
        </mc:AlternateContent>
      </w:r>
      <w:r>
        <w:rPr>
          <w:sz w:val="28"/>
        </w:rPr>
        <mc:AlternateContent>
          <mc:Choice Requires="wpg">
            <w:drawing>
              <wp:anchor distT="0" distB="0" distL="114300" distR="114300" simplePos="0" relativeHeight="251660288" behindDoc="0" locked="0" layoutInCell="1" allowOverlap="1">
                <wp:simplePos x="0" y="0"/>
                <wp:positionH relativeFrom="column">
                  <wp:posOffset>151765</wp:posOffset>
                </wp:positionH>
                <wp:positionV relativeFrom="paragraph">
                  <wp:posOffset>7332345</wp:posOffset>
                </wp:positionV>
                <wp:extent cx="5606415" cy="345440"/>
                <wp:effectExtent l="0" t="9525" r="13335" b="26035"/>
                <wp:wrapNone/>
                <wp:docPr id="20" name="组合 20"/>
                <wp:cNvGraphicFramePr/>
                <a:graphic xmlns:a="http://schemas.openxmlformats.org/drawingml/2006/main">
                  <a:graphicData uri="http://schemas.microsoft.com/office/word/2010/wordprocessingGroup">
                    <wpg:wgp>
                      <wpg:cNvGrpSpPr/>
                      <wpg:grpSpPr>
                        <a:xfrm>
                          <a:off x="0" y="0"/>
                          <a:ext cx="5606415" cy="345440"/>
                          <a:chOff x="2214" y="202507"/>
                          <a:chExt cx="8829" cy="544"/>
                        </a:xfrm>
                      </wpg:grpSpPr>
                      <wps:wsp>
                        <wps:cNvPr id="18" name="直接连接符 18"/>
                        <wps:cNvCnPr/>
                        <wps:spPr>
                          <a:xfrm>
                            <a:off x="2214" y="202507"/>
                            <a:ext cx="8820" cy="0"/>
                          </a:xfrm>
                          <a:prstGeom prst="line">
                            <a:avLst/>
                          </a:prstGeom>
                          <a:ln w="19050" cap="flat" cmpd="sng">
                            <a:solidFill>
                              <a:srgbClr val="000000"/>
                            </a:solidFill>
                            <a:prstDash val="solid"/>
                            <a:headEnd type="none" w="med" len="med"/>
                            <a:tailEnd type="none" w="med" len="med"/>
                          </a:ln>
                        </wps:spPr>
                        <wps:bodyPr upright="1"/>
                      </wps:wsp>
                      <wps:wsp>
                        <wps:cNvPr id="19" name="直接连接符 19"/>
                        <wps:cNvCnPr/>
                        <wps:spPr>
                          <a:xfrm>
                            <a:off x="2223" y="203051"/>
                            <a:ext cx="8820" cy="0"/>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1.95pt;margin-top:577.35pt;height:27.2pt;width:441.45pt;z-index:251660288;mso-width-relative:page;mso-height-relative:page;" coordorigin="2214,202507" coordsize="8829,544" o:gfxdata="UEsDBAoAAAAAAIdO4kAAAAAAAAAAAAAAAAAEAAAAZHJzL1BLAwQUAAAACACHTuJAbC3fqNsAAAAM&#10;AQAADwAAAGRycy9kb3ducmV2LnhtbE2PTUvDQBCG74L/YRnBm93d1FYTsylS1FMRbAXxNk2mSWh2&#10;N2S3SfvvHU96nHce3o98dbadGGkIrXcG9EyBIFf6qnW1gc/d690jiBDRVdh5RwYuFGBVXF/lmFV+&#10;ch80bmMt2MSFDA00MfaZlKFsyGKY+Z4c/w5+sBj5HGpZDTixue1kotRSWmwdJzTY07qh8rg9WQNv&#10;E07Pc/0ybo6H9eV7t3j/2mgy5vZGqycQkc7xD4bf+lwdCu609ydXBdEZSOYpk6zrxf0DCCZSteQx&#10;e5YSlWqQRS7/jyh+AFBLAwQUAAAACACHTuJAzaWQqpgCAAAtBwAADgAAAGRycy9lMm9Eb2MueG1s&#10;7ZW/j9MwFMd3JP4HyztNmmuPNmp6w/WuC4KTDv4An+MklvxLttu0OwMTYkdig4mRjYG/Bo4/g2cn&#10;14NySNUhMdEhdfzs5/c+7+uX2clGCrRm1nGtCjwcpBgxRXXJVV3gF8/PH00wcp6okgitWIG3zOGT&#10;+cMHs9bkLNONFiWzCJwol7emwI33Jk8SRxsmiRtowxQYK20l8fBq66S0pAXvUiRZmh4nrbalsZoy&#10;52B20Rlx79Ee4lBXFadsoelKMuU7r5YJ4iEl13Dj8DxGW1WM+mdV5ZhHosCQqY9POATGV+GZzGck&#10;ry0xDad9COSQEPZykoQrOHTnakE8QSvLf3MlObXa6coPqJZJl0gkAlkM0z02S6tXJuZS521tdtCh&#10;UHvU7+2WPl1fWMTLAmeARBEJFb/+/PLrm1cIJoBOa+ocFi2tuTQXtp+ou7eQ8KayMvxDKmgTuW53&#10;XNnGIwqT4+P0eDQcY0TBdjQaj0Y9eNpAdcK2LBuOMAJrlmbj9HFXFtqc9Q4mk2za7Ya9wZjcHJyE&#10;+HbhtAY06W5Bub8DddkQwyJ/Fxj0oIZwQXpQbz99e/3++5d38Lz++AGBJQKKq09Vj8vlDsjdwerO&#10;pG+YQcpQkAAsstolTHJjnV8yLVEYFFhwFWIkOVk/cb5jc7MkTAuFWrjn03Qc/BG4sRXcFBhKA1V3&#10;qo6bnRa8POdChC3O1lenwqI1Cbcm/nrovywLpyyIa7p10dQVrmGkPFMl8lsDclLQRnCIQbISI8Gg&#10;64QRREpyT7g4ZCWkLxSUPRS4oxlGV7rcQlFWxvK6ARTDGGUvgiDdf6EGEOYf1DAN4YQgQDuHqCE7&#10;6q/AUTqOqZD8vxru0s291BA7BXTR2Dz6jh/a9M/vUWG3X7n5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Gwt36jbAAAADAEAAA8AAAAAAAAAAQAgAAAAIgAAAGRycy9kb3ducmV2LnhtbFBLAQIUABQA&#10;AAAIAIdO4kDNpZCqmAIAAC0HAAAOAAAAAAAAAAEAIAAAACoBAABkcnMvZTJvRG9jLnhtbFBLBQYA&#10;AAAABgAGAFkBAAA0BgAAAAA=&#10;">
                <o:lock v:ext="edit" aspectratio="f"/>
                <v:line id="_x0000_s1026" o:spid="_x0000_s1026" o:spt="20" style="position:absolute;left:2214;top:202507;height:0;width:8820;" filled="f" stroked="t" coordsize="21600,21600" o:gfxdata="UEsDBAoAAAAAAIdO4kAAAAAAAAAAAAAAAAAEAAAAZHJzL1BLAwQUAAAACACHTuJA32B7CLwAAADb&#10;AAAADwAAAGRycy9kb3ducmV2LnhtbEWPQWvCQBCF7wX/wzKCt7pRbInRVVAoiLemoh6H7JgEs7Mh&#10;u43m3zuHQm9vmDffvLfePl2jeupC7dnAbJqAIi68rbk0cPr5ek9BhYhssfFMBgYKsN2M3taYWf/g&#10;b+rzWCqBcMjQQBVjm2kdioochqlviWV3853DKGNXatvhQ+Cu0fMk+dQOa5YPFba0r6i4579OKB+X&#10;dHfE9DQMTX5dLvbnY8/OmMl4lqxARXrGf/Pf9cFKfAkrXUSA3r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9gewi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_x0000_s1026" o:spid="_x0000_s1026" o:spt="20" style="position:absolute;left:2223;top:203051;height:0;width:8820;" filled="f" stroked="t" coordsize="21600,21600" o:gfxdata="UEsDBAoAAAAAAIdO4kAAAAAAAAAAAAAAAAAEAAAAZHJzL1BLAwQUAAAACACHTuJAsCzek7wAAADb&#10;AAAADwAAAGRycy9kb3ducmV2LnhtbEWPQYvCMBCF74L/IYywN0277EqtpoKCIN6soh6HZmyLzaQ0&#10;2Wr/vVlY2NsM771v3qzWL9OInjpXW1YQzyIQxIXVNZcKzqfdNAHhPLLGxjIpGMjBOhuPVphq++Qj&#10;9bkvRYCwS1FB5X2bSumKigy6mW2Jg3a3nUEf1q6UusNngJtGfkbRXBqsOVyosKVtRcUj/zGB8n1N&#10;NgdMzsPQ5LfF1/Zy6Nko9TGJoyUITy//b/5L73Wov4DfX8IAMn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s3pO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group>
            </w:pict>
          </mc:Fallback>
        </mc:AlternateContent>
      </w:r>
      <w:r>
        <w:rPr>
          <w:sz w:val="28"/>
        </w:rPr>
        <mc:AlternateContent>
          <mc:Choice Requires="wpg">
            <w:drawing>
              <wp:anchor distT="0" distB="0" distL="114300" distR="114300" simplePos="0" relativeHeight="251659264" behindDoc="0" locked="0" layoutInCell="1" allowOverlap="1">
                <wp:simplePos x="0" y="0"/>
                <wp:positionH relativeFrom="column">
                  <wp:posOffset>-635</wp:posOffset>
                </wp:positionH>
                <wp:positionV relativeFrom="paragraph">
                  <wp:posOffset>7179945</wp:posOffset>
                </wp:positionV>
                <wp:extent cx="5606415" cy="345440"/>
                <wp:effectExtent l="0" t="9525" r="13335" b="26035"/>
                <wp:wrapNone/>
                <wp:docPr id="17" name="组合 17"/>
                <wp:cNvGraphicFramePr/>
                <a:graphic xmlns:a="http://schemas.openxmlformats.org/drawingml/2006/main">
                  <a:graphicData uri="http://schemas.microsoft.com/office/word/2010/wordprocessingGroup">
                    <wpg:wgp>
                      <wpg:cNvGrpSpPr/>
                      <wpg:grpSpPr>
                        <a:xfrm>
                          <a:off x="0" y="0"/>
                          <a:ext cx="5606415" cy="345440"/>
                          <a:chOff x="2214" y="202507"/>
                          <a:chExt cx="8829" cy="544"/>
                        </a:xfrm>
                      </wpg:grpSpPr>
                      <wps:wsp>
                        <wps:cNvPr id="15" name="直接连接符 15"/>
                        <wps:cNvCnPr/>
                        <wps:spPr>
                          <a:xfrm>
                            <a:off x="2214" y="202507"/>
                            <a:ext cx="8820" cy="0"/>
                          </a:xfrm>
                          <a:prstGeom prst="line">
                            <a:avLst/>
                          </a:prstGeom>
                          <a:ln w="19050" cap="flat" cmpd="sng">
                            <a:solidFill>
                              <a:srgbClr val="000000"/>
                            </a:solidFill>
                            <a:prstDash val="solid"/>
                            <a:headEnd type="none" w="med" len="med"/>
                            <a:tailEnd type="none" w="med" len="med"/>
                          </a:ln>
                        </wps:spPr>
                        <wps:bodyPr upright="1"/>
                      </wps:wsp>
                      <wps:wsp>
                        <wps:cNvPr id="16" name="直接连接符 16"/>
                        <wps:cNvCnPr/>
                        <wps:spPr>
                          <a:xfrm>
                            <a:off x="2223" y="203051"/>
                            <a:ext cx="8820" cy="0"/>
                          </a:xfrm>
                          <a:prstGeom prst="line">
                            <a:avLst/>
                          </a:prstGeom>
                          <a:ln w="19050"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0.05pt;margin-top:565.35pt;height:27.2pt;width:441.45pt;z-index:251659264;mso-width-relative:page;mso-height-relative:page;" coordorigin="2214,202507" coordsize="8829,544" o:gfxdata="UEsDBAoAAAAAAIdO4kAAAAAAAAAAAAAAAAAEAAAAZHJzL1BLAwQUAAAACACHTuJAjyxye9kAAAAL&#10;AQAADwAAAGRycy9kb3ducmV2LnhtbE2PTWvCQBCG74X+h2WE3nSzim2I2UiRticpVAultzE7JsHs&#10;bsiuif77jqd6nHce3o98fbGtGKgPjXca1CwBQa70pnGVhu/9+zQFESI6g613pOFKAdbF40OOmfGj&#10;+6JhFyvBJi5kqKGOscukDGVNFsPMd+T4d/S9xchnX0nT48jmtpXzJHmWFhvHCTV2tKmpPO3OVsPH&#10;iOPrQr0N29Nxc/3dLz9/toq0fpqoZAUi0iX+w3Crz9Wh4E4Hf3YmiFbDVDHIslokLyAYSNM5bznc&#10;pHSpQBa5vN9Q/AFQSwMEFAAAAAgAh07iQMB07G6VAgAALQcAAA4AAABkcnMvZTJvRG9jLnhtbO1V&#10;vY4TMRDukXgHyz3ZzeaHu1WSKy53aRCcdPAAPq9315L/ZDvZpKegQvRIdFBR0lHwNHA8BmPvJgch&#10;SNEhUZHCGdvj8XzffJ6dnK2lQCtmHddqivu9FCOmqC64qqb4xfPLRycYOU9UQYRWbIo3zOGz2cMH&#10;k8bkLNO1FgWzCIIolzdmimvvTZ4kjtZMEtfThinYLLWVxMPUVklhSQPRpUiyNB0njbaFsZoy52B1&#10;3m7iLqI9JqAuS07ZXNOlZMq3US0TxAMkV3Pj8CxmW5aM+mdl6ZhHYooBqY8jXAL2TRiT2YTklSWm&#10;5rRLgRyTwh4mSbiCS3eh5sQTtLT8t1CSU6udLn2Papm0QCIjgKKf7nGzsHppIpYqbyqzIx0Ktcf6&#10;vcPSp6sri3gBSniMkSISKn77+eXXN68QLAA7jalycFpYc22ubLdQtbMAeF1aGf4BClpHXjc7Xtna&#10;IwqLo3E6HvZHGFHYGwxHw2FHPK2hOuFYlvWHGMFulmajNF5MclpfdAFOTrLT9jScDVkl24uTkN8u&#10;ncaAJt0dUe7viLquiWGRfxc42BIFQDqi3n769vr99y/vYLz9+AEBxEhQ9D5XHV0ud8DcAa4Ogt5y&#10;BpBBo4GwyNUOMMmNdX7BtETBmGLBVciR5GT1xPmWm61LWBYKNVDd03QU4hF4sSW8FDClgao7VcXD&#10;TgteXHIhwhFnq5tzYdGKhFcTfx3pv7iFW+bE1a1f3ApuJK8ZKS5UgfzGgJwUtBEccpCswEgw6DrB&#10;ip6ecHGMJ8AXCsoeCtyyGawbXWygKEtjeVUDFf2YZSeCIN1/oYbxH9UwDumEJEA7x6ghG3RPYJCO&#10;IhSS/1fDId3cSw2xU0AXjc2j6/ihTf88jwq7+8rNf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CP&#10;LHJ72QAAAAsBAAAPAAAAAAAAAAEAIAAAACIAAABkcnMvZG93bnJldi54bWxQSwECFAAUAAAACACH&#10;TuJAwHTsbpUCAAAtBwAADgAAAAAAAAABACAAAAAoAQAAZHJzL2Uyb0RvYy54bWxQSwUGAAAAAAYA&#10;BgBZAQAALwYAAAAA&#10;">
                <o:lock v:ext="edit" aspectratio="f"/>
                <v:line id="_x0000_s1026" o:spid="_x0000_s1026" o:spt="20" style="position:absolute;left:2214;top:202507;height:0;width:8820;" filled="f" stroked="t" coordsize="21600,21600" o:gfxdata="UEsDBAoAAAAAAIdO4kAAAAAAAAAAAAAAAAAEAAAAZHJzL1BLAwQUAAAACACHTuJAMWHUlrwAAADb&#10;AAAADwAAAGRycy9kb3ducmV2LnhtbEWPQYvCMBCF7wv+hzCCtzVVdOl2mwoKgnizK+pxaGbbss2k&#10;NLHaf28EwdsM771v3qSru2lET52rLSuYTSMQxIXVNZcKjr/bzxiE88gaG8ukYCAHq2z0kWKi7Y0P&#10;1Oe+FAHCLkEFlfdtIqUrKjLoprYlDtqf7Qz6sHal1B3eAtw0ch5FX9JgzeFChS1tKir+86sJlOU5&#10;Xu8xPg5Dk1++F5vTvmej1GQ8i35AeLr7t/mV3ulQfwnPX8IAMn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Fh1Ja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line>
                <v:line id="_x0000_s1026" o:spid="_x0000_s1026" o:spt="20" style="position:absolute;left:2223;top:203051;height:0;width:8820;" filled="f" stroked="t" coordsize="21600,21600" o:gfxdata="UEsDBAoAAAAAAIdO4kAAAAAAAAAAAAAAAAAEAAAAZHJzL1BLAwQUAAAACACHTuJAwbNK4b0AAADb&#10;AAAADwAAAGRycy9kb3ducmV2LnhtbEWPQWvCQBCF74L/YRnBm9lYWklTV6FCoeTWGNTjkJ0modnZ&#10;kN3G5N+7guBthvfeN2+2+9G0YqDeNZYVrKMYBHFpdcOVguL4tUpAOI+ssbVMCiZysN/NZ1tMtb3y&#10;Dw25r0SAsEtRQe19l0rpypoMush2xEH7tb1BH9a+krrHa4CbVr7E8UYabDhcqLGjQ03lX/5vAuXt&#10;nHxmmBTT1OaX99fDKRvYKLVcrOMPEJ5G/zQ/0t861N/A/ZcwgN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s0rhvQAA&#10;ANsAAAAPAAAAAAAAAAEAIAAAACIAAABkcnMvZG93bnJldi54bWxQSwECFAAUAAAACACHTuJAMy8F&#10;njsAAAA5AAAAEAAAAAAAAAABACAAAAAMAQAAZHJzL3NoYXBleG1sLnhtbFBLBQYAAAAABgAGAFsB&#10;AAC2AwAAAAA=&#10;">
                  <v:fill on="f" focussize="0,0"/>
                  <v:stroke weight="1.5pt" color="#000000" joinstyle="round"/>
                  <v:imagedata o:title=""/>
                  <o:lock v:ext="edit" aspectratio="f"/>
                </v:line>
              </v:group>
            </w:pict>
          </mc:Fallback>
        </mc:AlternateContent>
      </w:r>
    </w:p>
    <w:sectPr>
      <w:footerReference r:id="rId7" w:type="default"/>
      <w:pgSz w:w="11907" w:h="16839"/>
      <w:pgMar w:top="2041" w:right="1531" w:bottom="2041" w:left="1531" w:header="851" w:footer="992" w:gutter="0"/>
      <w:pgBorders>
        <w:top w:val="none" w:sz="0" w:space="0"/>
        <w:left w:val="none" w:sz="0" w:space="0"/>
        <w:bottom w:val="none" w:sz="0" w:space="0"/>
        <w:right w:val="none" w:sz="0" w:space="0"/>
      </w:pgBorders>
      <w:pgNumType w:fmt="decimal"/>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55769F3-CE63-427D-AFE7-675BF19649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2A5EB54-2783-4B71-9509-7193A8058788}"/>
  </w:font>
  <w:font w:name="仿宋_GB2312">
    <w:panose1 w:val="02010609030101010101"/>
    <w:charset w:val="86"/>
    <w:family w:val="auto"/>
    <w:pitch w:val="default"/>
    <w:sig w:usb0="00000001" w:usb1="080E0000" w:usb2="00000000" w:usb3="00000000" w:csb0="00040000" w:csb1="00000000"/>
    <w:embedRegular r:id="rId3" w:fontKey="{8DE360A5-443C-4744-8F35-39325268E157}"/>
  </w:font>
  <w:font w:name="仿宋">
    <w:panose1 w:val="02010609060101010101"/>
    <w:charset w:val="86"/>
    <w:family w:val="modern"/>
    <w:pitch w:val="default"/>
    <w:sig w:usb0="800002BF" w:usb1="38CF7CFA" w:usb2="00000016" w:usb3="00000000" w:csb0="00040001" w:csb1="00000000"/>
    <w:embedRegular r:id="rId4" w:fontKey="{EF064D3D-1BFF-4A5A-A724-68E81A880C08}"/>
  </w:font>
  <w:font w:name="华文仿宋">
    <w:altName w:val="仿宋"/>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embedRegular r:id="rId5" w:fontKey="{ADB3BF77-ADFF-4E0D-BE3F-4D3A1DF798B5}"/>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6" w:fontKey="{F3941F23-01BB-495C-BCA7-C9CA02D2A9D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-352425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7.75pt;height:144pt;width:144pt;mso-position-horizontal:outside;mso-position-horizontal-relative:margin;mso-wrap-style:none;z-index:251663360;mso-width-relative:page;mso-height-relative:page;" filled="f" stroked="f" coordsize="21600,21600" o:gfxdata="UEsDBAoAAAAAAIdO4kAAAAAAAAAAAAAAAAAEAAAAZHJzL1BLAwQUAAAACACHTuJAqs5tb9YAAAAI&#10;AQAADwAAAGRycy9kb3ducmV2LnhtbE2PQU/DMAyF70j8h8hI3LZ0HUVVaTqJiXJEYuXAMWu8tqNx&#10;qiTryr/HnOBm+z09f6/cLXYUM/owOFKwWScgkFpnBuoUfDT1KgcRoiajR0eo4BsD7Krbm1IXxl3p&#10;HedD7ASHUCi0gj7GqZAytD1aHdZuQmLt5LzVkVffSeP1lcPtKNMkeZRWD8Qfej3hvsf263CxCvZ1&#10;0/gZgx8/8bXent+eH/BlUer+bpM8gYi4xD8z/OIzOlTMdHQXMkGMCrhIVLDKsgwEy2me8+XIwzbN&#10;QFal/F+g+gFQSwMEFAAAAAgAh07iQH+OrREyAgAAYQQAAA4AAABkcnMvZTJvRG9jLnhtbK1UzY7T&#10;MBC+I/EOlu80aVFX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3k7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qzm1v1gAAAAgBAAAPAAAAAAAAAAEAIAAAACIAAABkcnMvZG93bnJldi54bWxQ&#10;SwECFAAUAAAACACHTuJAf46tETICAABhBAAADgAAAAAAAAABACAAAAAlAQAAZHJzL2Uyb0RvYy54&#10;bWxQSwUGAAAAAAYABgBZAQAAyQUAAAAA&#10;">
              <v:fill on="f" focussize="0,0"/>
              <v:stroke on="f" weight="0.5pt"/>
              <v:imagedata o:title=""/>
              <o:lock v:ext="edit" aspectratio="f"/>
              <v:textbox inset="0mm,0mm,0mm,0mm" style="mso-fit-shape-to-text:t;">
                <w:txbxContent>
                  <w:p>
                    <w:pPr>
                      <w:pStyle w:val="1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-352425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7.75pt;height:144pt;width:144pt;mso-position-horizontal:outside;mso-position-horizontal-relative:margin;mso-wrap-style:none;z-index:251664384;mso-width-relative:page;mso-height-relative:page;" filled="f" stroked="f" coordsize="21600,21600" o:gfxdata="UEsDBAoAAAAAAIdO4kAAAAAAAAAAAAAAAAAEAAAAZHJzL1BLAwQUAAAACACHTuJAqs5tb9YAAAAI&#10;AQAADwAAAGRycy9kb3ducmV2LnhtbE2PQU/DMAyF70j8h8hI3LZ0HUVVaTqJiXJEYuXAMWu8tqNx&#10;qiTryr/HnOBm+z09f6/cLXYUM/owOFKwWScgkFpnBuoUfDT1KgcRoiajR0eo4BsD7Krbm1IXxl3p&#10;HedD7ASHUCi0gj7GqZAytD1aHdZuQmLt5LzVkVffSeP1lcPtKNMkeZRWD8Qfej3hvsf263CxCvZ1&#10;0/gZgx8/8bXent+eH/BlUer+bpM8gYi4xD8z/OIzOlTMdHQXMkGMCrhIVLDKsgwEy2me8+XIwzbN&#10;QFal/F+g+gFQSwMEFAAAAAgAh07iQDCJEl4xAgAAYQQAAA4AAABkcnMvZTJvRG9jLnhtbK1US44T&#10;MRDdI3EHy3vSSRBRFKUzChMFIUXMSANi7bjdaUv+yXbSHQ4AN2DFhj3nyjl47k8GDSxmwcZddpVf&#10;+b2q6uVNoxU5CR+kNTmdjMaUCMNtIc0hp58+bl/NKQmRmYIpa0ROzyLQm9XLF8vaLcTUVlYVwhOA&#10;mLCoXU6rGN0iywKvhGZhZJ0wcJbWaxax9Yes8KwGulbZdDyeZbX1hfOWixBwuumctEf0zwG0ZSm5&#10;2Fh+1MLEDtULxSIohUq6QFfta8tS8HhXlkFEonIKprFdkQT2Pq3ZaskWB89cJXn/BPacJzzhpJk0&#10;SHqF2rDIyNHLv6C05N4GW8YRtzrriLSKgMVk/ESbh4o50XKB1MFdRQ//D5Z/ON17IouczigxTKPg&#10;l+/fLj9+XX5+JbMkT+3CAlEPDnGxeWsbNM1wHnCYWDel1+kLPgR+iHu+iiuaSHi6NJ/O52O4OHzD&#10;BvjZ43XnQ3wnrCbJyKlH9VpR2WkXYhc6hKRsxm6lUm0FlSE1KLx+M24vXD0AVwY5EonuscmKzb7p&#10;me1tcQYxb7vOCI5vJZLvWIj3zKMV8GAMS7zDUiqLJLa3KKms//Kv8xSPCsFLSY3WyqnBJFGi3htU&#10;DoBxMPxg7AfDHPWtRa9OMISOtyYu+KgGs/RWf8YErVMOuJjhyJTTOJi3sWtvTCAX63UbdHReHqru&#10;AvrOsbgzD46nNEnI4NbHCDFbjZNAnSq9bui8tkr9lKTW/nPfRj3+GV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rObW/WAAAACAEAAA8AAAAAAAAAAQAgAAAAIgAAAGRycy9kb3ducmV2LnhtbFBL&#10;AQIUABQAAAAIAIdO4kAwiRJeMQIAAGEEAAAOAAAAAAAAAAEAIAAAACUBAABkcnMvZTJvRG9jLnht&#10;bFBLBQYAAAAABgAGAFkBAADIBQAAAAA=&#10;">
              <v:fill on="f" focussize="0,0"/>
              <v:stroke on="f" weight="0.5pt"/>
              <v:imagedata o:title=""/>
              <o:lock v:ext="edit" aspectratio="f"/>
              <v:textbox inset="0mm,0mm,0mm,0mm" style="mso-fit-shape-to-text:t;">
                <w:txbxContent>
                  <w:p>
                    <w:pPr>
                      <w:pStyle w:val="16"/>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6"/>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-352425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0" w:leftChars="0" w:firstLine="0" w:firstLineChars="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7.75pt;height:144pt;width:144pt;mso-position-horizontal:outside;mso-position-horizontal-relative:margin;mso-wrap-style:none;z-index:251662336;mso-width-relative:page;mso-height-relative:page;" filled="f" stroked="f" coordsize="21600,21600" o:gfxdata="UEsDBAoAAAAAAIdO4kAAAAAAAAAAAAAAAAAEAAAAZHJzL1BLAwQUAAAACACHTuJAqs5tb9YAAAAI&#10;AQAADwAAAGRycy9kb3ducmV2LnhtbE2PQU/DMAyF70j8h8hI3LZ0HUVVaTqJiXJEYuXAMWu8tqNx&#10;qiTryr/HnOBm+z09f6/cLXYUM/owOFKwWScgkFpnBuoUfDT1KgcRoiajR0eo4BsD7Krbm1IXxl3p&#10;HedD7ASHUCi0gj7GqZAytD1aHdZuQmLt5LzVkVffSeP1lcPtKNMkeZRWD8Qfej3hvsf263CxCvZ1&#10;0/gZgx8/8bXent+eH/BlUer+bpM8gYi4xD8z/OIzOlTMdHQXMkGMCrhIVLDKsgwEy2me8+XIwzbN&#10;QFal/F+g+gFQSwMEFAAAAAgAh07iQLqMOCsyAgAAYQQAAA4AAABkcnMvZTJvRG9jLnhtbK1UzY7T&#10;MBC+I/EOlu80aVlWVdV0VbYqQqrYlRbE2XWcJpL/ZLtNygPAG3Diwp3n6nPw2Wm6aOGwBy7O2DP+&#10;xt83M5nfdEqSg3C+Mbqg41FOidDclI3eFfTTx/WrKSU+MF0yabQo6FF4erN4+WLe2pmYmNrIUjgC&#10;EO1nrS1oHYKdZZnntVDMj4wVGs7KOMUCtm6XlY61QFcym+T5ddYaV1pnuPAep6veSc+I7jmApqoa&#10;LlaG75XQoUd1QrIASr5urKeL9NqqEjzcVZUXgciCgmlIK5LA3sY1W8zZbOeYrRt+fgJ7zhOecFKs&#10;0Uh6gVqxwMjeNX9BqYY7400VRtyorCeSFAGLcf5Em4eaWZG4QGpvL6L7/wfLPxzuHWnKgl5RoplC&#10;wU/fv51+/Dr9/Equojyt9TNEPVjEhe6t6dA0w7nHYWTdVU7FL/gQ+CHu8SKu6ALh8dJ0Mp3mcHH4&#10;hg3ws8fr1vnwThhFolFQh+olUdlh40MfOoTEbNqsGylTBaUmbUGvX7/J04WLB+BSI0ck0T82WqHb&#10;dmdmW1MeQcyZvjO85esGyTfMh3vm0Ap4MIYl3GGppEESc7YoqY378q/zGI8KwUtJi9YqqMYkUSLf&#10;a1QOgGEw3GBsB0Pv1a1Br44xhJYnExdckINZOaM+Y4KWMQdcTHNkKmgYzNvQtzcmkIvlMgXtrWt2&#10;dX8BfWdZ2OgHy2OaKKS3y32AmEnjKFCvylk3dF6q0nlKYmv/uU9Rj3+G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qzm1v1gAAAAgBAAAPAAAAAAAAAAEAIAAAACIAAABkcnMvZG93bnJldi54bWxQ&#10;SwECFAAUAAAACACHTuJAuow4KzICAABhBAAADgAAAAAAAAABACAAAAAlAQAAZHJzL2Uyb0RvYy54&#10;bWxQSwUGAAAAAAYABgBZAQAAyQUAAAAA&#10;">
              <v:fill on="f" focussize="0,0"/>
              <v:stroke on="f" weight="0.5pt"/>
              <v:imagedata o:title=""/>
              <o:lock v:ext="edit" aspectratio="f"/>
              <v:textbox inset="0mm,0mm,0mm,0mm" style="mso-fit-shape-to-text:t;">
                <w:txbxContent>
                  <w:p>
                    <w:pPr>
                      <w:pStyle w:val="2"/>
                      <w:ind w:left="0" w:leftChars="0" w:firstLine="0" w:firstLineChars="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075FBB"/>
    <w:multiLevelType w:val="multilevel"/>
    <w:tmpl w:val="0A075FBB"/>
    <w:lvl w:ilvl="0" w:tentative="0">
      <w:start w:val="1"/>
      <w:numFmt w:val="chineseCountingThousand"/>
      <w:pStyle w:val="4"/>
      <w:suff w:val="space"/>
      <w:lvlText w:val="第%1章"/>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B0E0D52"/>
    <w:multiLevelType w:val="multilevel"/>
    <w:tmpl w:val="1B0E0D52"/>
    <w:lvl w:ilvl="0" w:tentative="0">
      <w:start w:val="1"/>
      <w:numFmt w:val="decimal"/>
      <w:pStyle w:val="8"/>
      <w:suff w:val="nothing"/>
      <w:lvlText w:val="（%1）"/>
      <w:lvlJc w:val="left"/>
      <w:pPr>
        <w:ind w:left="420" w:hanging="420"/>
      </w:pPr>
      <w:rPr>
        <w:b/>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decimalEnclosedCircle"/>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4734C8"/>
    <w:multiLevelType w:val="multilevel"/>
    <w:tmpl w:val="1B4734C8"/>
    <w:lvl w:ilvl="0" w:tentative="0">
      <w:start w:val="1"/>
      <w:numFmt w:val="decimal"/>
      <w:pStyle w:val="9"/>
      <w:lvlText w:val="%1）"/>
      <w:lvlJc w:val="left"/>
      <w:pPr>
        <w:ind w:left="42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2907EF1"/>
    <w:multiLevelType w:val="multilevel"/>
    <w:tmpl w:val="32907EF1"/>
    <w:lvl w:ilvl="0" w:tentative="0">
      <w:start w:val="1"/>
      <w:numFmt w:val="decimal"/>
      <w:pStyle w:val="7"/>
      <w:lvlText w:val="%1."/>
      <w:lvlJc w:val="left"/>
      <w:pPr>
        <w:ind w:left="420" w:hanging="420"/>
      </w:pPr>
      <w:rPr>
        <w:b/>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EC34993"/>
    <w:multiLevelType w:val="multilevel"/>
    <w:tmpl w:val="4EC34993"/>
    <w:lvl w:ilvl="0" w:tentative="0">
      <w:start w:val="1"/>
      <w:numFmt w:val="chineseCountingThousand"/>
      <w:pStyle w:val="5"/>
      <w:suff w:val="nothing"/>
      <w:lvlText w:val="%1、"/>
      <w:lvlJc w:val="left"/>
      <w:pPr>
        <w:ind w:left="420" w:hanging="420"/>
      </w:pPr>
      <w:rPr>
        <w:rFonts w:hint="eastAsia"/>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225748A"/>
    <w:multiLevelType w:val="multilevel"/>
    <w:tmpl w:val="6225748A"/>
    <w:lvl w:ilvl="0" w:tentative="0">
      <w:start w:val="1"/>
      <w:numFmt w:val="chineseCountingThousand"/>
      <w:pStyle w:val="6"/>
      <w:suff w:val="nothing"/>
      <w:lvlText w:val="（%1）"/>
      <w:lvlJc w:val="left"/>
      <w:pPr>
        <w:ind w:left="420" w:hanging="420"/>
      </w:pPr>
      <w:rPr>
        <w:b/>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4BA0AB8"/>
    <w:multiLevelType w:val="multilevel"/>
    <w:tmpl w:val="64BA0AB8"/>
    <w:lvl w:ilvl="0" w:tentative="0">
      <w:start w:val="1"/>
      <w:numFmt w:val="chineseCountingThousand"/>
      <w:pStyle w:val="3"/>
      <w:suff w:val="space"/>
      <w:lvlText w:val="第%1篇"/>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0"/>
  </w:num>
  <w:num w:numId="3">
    <w:abstractNumId w:val="4"/>
  </w:num>
  <w:num w:numId="4">
    <w:abstractNumId w:val="5"/>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hideSpellingErrors/>
  <w:documentProtection w:enforcement="0"/>
  <w:defaultTabStop w:val="420"/>
  <w:drawingGridHorizontalSpacing w:val="120"/>
  <w:drawingGridVerticalSpacing w:val="163"/>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3MTFjYmY4ZjVhNGFmZmVlOGY3MjM3ZDljMGM3OGUifQ=="/>
  </w:docVars>
  <w:rsids>
    <w:rsidRoot w:val="005005F6"/>
    <w:rsid w:val="00004316"/>
    <w:rsid w:val="00004A64"/>
    <w:rsid w:val="00005CAF"/>
    <w:rsid w:val="00006A8F"/>
    <w:rsid w:val="00007518"/>
    <w:rsid w:val="000100C8"/>
    <w:rsid w:val="0001061E"/>
    <w:rsid w:val="000129AA"/>
    <w:rsid w:val="000135A7"/>
    <w:rsid w:val="0001416C"/>
    <w:rsid w:val="00014E27"/>
    <w:rsid w:val="00015B07"/>
    <w:rsid w:val="00016331"/>
    <w:rsid w:val="000257AD"/>
    <w:rsid w:val="000258F6"/>
    <w:rsid w:val="00033B99"/>
    <w:rsid w:val="00041BD7"/>
    <w:rsid w:val="00042339"/>
    <w:rsid w:val="00042942"/>
    <w:rsid w:val="00044B28"/>
    <w:rsid w:val="000456D1"/>
    <w:rsid w:val="00046AB2"/>
    <w:rsid w:val="000476EC"/>
    <w:rsid w:val="00053788"/>
    <w:rsid w:val="00054AE1"/>
    <w:rsid w:val="000570AA"/>
    <w:rsid w:val="000601D4"/>
    <w:rsid w:val="00062F22"/>
    <w:rsid w:val="000655F0"/>
    <w:rsid w:val="00075242"/>
    <w:rsid w:val="000778DB"/>
    <w:rsid w:val="00080B24"/>
    <w:rsid w:val="00080CBA"/>
    <w:rsid w:val="00086BB1"/>
    <w:rsid w:val="000909EC"/>
    <w:rsid w:val="000912CB"/>
    <w:rsid w:val="000925E3"/>
    <w:rsid w:val="0009309C"/>
    <w:rsid w:val="00093163"/>
    <w:rsid w:val="00093C83"/>
    <w:rsid w:val="000945B2"/>
    <w:rsid w:val="000A69CB"/>
    <w:rsid w:val="000B5A61"/>
    <w:rsid w:val="000C0F8C"/>
    <w:rsid w:val="000C153D"/>
    <w:rsid w:val="000C4A40"/>
    <w:rsid w:val="000C5A86"/>
    <w:rsid w:val="000C5F88"/>
    <w:rsid w:val="000D00A1"/>
    <w:rsid w:val="000D0A90"/>
    <w:rsid w:val="000D1516"/>
    <w:rsid w:val="000D2825"/>
    <w:rsid w:val="000D4622"/>
    <w:rsid w:val="000E16C1"/>
    <w:rsid w:val="000E25A4"/>
    <w:rsid w:val="000E389D"/>
    <w:rsid w:val="000E4C70"/>
    <w:rsid w:val="000E6AB6"/>
    <w:rsid w:val="000E72DB"/>
    <w:rsid w:val="000F1467"/>
    <w:rsid w:val="000F1662"/>
    <w:rsid w:val="000F4C89"/>
    <w:rsid w:val="000F6E38"/>
    <w:rsid w:val="00100621"/>
    <w:rsid w:val="00102161"/>
    <w:rsid w:val="00103B44"/>
    <w:rsid w:val="00105C7E"/>
    <w:rsid w:val="00106B33"/>
    <w:rsid w:val="0011253B"/>
    <w:rsid w:val="0011523B"/>
    <w:rsid w:val="00117958"/>
    <w:rsid w:val="0012142C"/>
    <w:rsid w:val="00121B3B"/>
    <w:rsid w:val="00136AFA"/>
    <w:rsid w:val="00137BB8"/>
    <w:rsid w:val="00141150"/>
    <w:rsid w:val="00143B9D"/>
    <w:rsid w:val="00150F08"/>
    <w:rsid w:val="00152A3E"/>
    <w:rsid w:val="00157A74"/>
    <w:rsid w:val="001619D7"/>
    <w:rsid w:val="0016556A"/>
    <w:rsid w:val="00165C29"/>
    <w:rsid w:val="00167F3D"/>
    <w:rsid w:val="00173FBC"/>
    <w:rsid w:val="00174839"/>
    <w:rsid w:val="0017623F"/>
    <w:rsid w:val="00176FCB"/>
    <w:rsid w:val="00185BF2"/>
    <w:rsid w:val="0018673D"/>
    <w:rsid w:val="0019127E"/>
    <w:rsid w:val="00193015"/>
    <w:rsid w:val="001A0148"/>
    <w:rsid w:val="001A1C81"/>
    <w:rsid w:val="001A3EE1"/>
    <w:rsid w:val="001A5B14"/>
    <w:rsid w:val="001A73D4"/>
    <w:rsid w:val="001A7E5C"/>
    <w:rsid w:val="001B1CF4"/>
    <w:rsid w:val="001B2A49"/>
    <w:rsid w:val="001B2EF3"/>
    <w:rsid w:val="001B4453"/>
    <w:rsid w:val="001B7621"/>
    <w:rsid w:val="001B7AEC"/>
    <w:rsid w:val="001C3CDF"/>
    <w:rsid w:val="001C3FAD"/>
    <w:rsid w:val="001C5026"/>
    <w:rsid w:val="001D00E8"/>
    <w:rsid w:val="001D24ED"/>
    <w:rsid w:val="001E3F9A"/>
    <w:rsid w:val="001E4DCF"/>
    <w:rsid w:val="001E7072"/>
    <w:rsid w:val="001F382C"/>
    <w:rsid w:val="001F4F74"/>
    <w:rsid w:val="001F572C"/>
    <w:rsid w:val="002028B3"/>
    <w:rsid w:val="002046F3"/>
    <w:rsid w:val="00205936"/>
    <w:rsid w:val="00212A26"/>
    <w:rsid w:val="002165B5"/>
    <w:rsid w:val="00224BF0"/>
    <w:rsid w:val="00224D8A"/>
    <w:rsid w:val="00225AEB"/>
    <w:rsid w:val="00233D65"/>
    <w:rsid w:val="00234D4C"/>
    <w:rsid w:val="00243C1C"/>
    <w:rsid w:val="0024786C"/>
    <w:rsid w:val="002505C9"/>
    <w:rsid w:val="00254004"/>
    <w:rsid w:val="002545F3"/>
    <w:rsid w:val="00254AAD"/>
    <w:rsid w:val="00256BF0"/>
    <w:rsid w:val="002610D1"/>
    <w:rsid w:val="00265002"/>
    <w:rsid w:val="0026559F"/>
    <w:rsid w:val="0027198C"/>
    <w:rsid w:val="00271F2B"/>
    <w:rsid w:val="00273478"/>
    <w:rsid w:val="00275EF4"/>
    <w:rsid w:val="002846BF"/>
    <w:rsid w:val="0029025A"/>
    <w:rsid w:val="0029126E"/>
    <w:rsid w:val="002B1C4C"/>
    <w:rsid w:val="002B20ED"/>
    <w:rsid w:val="002B34F3"/>
    <w:rsid w:val="002B3B6D"/>
    <w:rsid w:val="002B3DFA"/>
    <w:rsid w:val="002B6AEC"/>
    <w:rsid w:val="002C051F"/>
    <w:rsid w:val="002C3B9E"/>
    <w:rsid w:val="002C4300"/>
    <w:rsid w:val="002C44E6"/>
    <w:rsid w:val="002D0707"/>
    <w:rsid w:val="002D1F2F"/>
    <w:rsid w:val="002D3A91"/>
    <w:rsid w:val="002D497E"/>
    <w:rsid w:val="002D4FE1"/>
    <w:rsid w:val="002D7032"/>
    <w:rsid w:val="002E0012"/>
    <w:rsid w:val="002E4A54"/>
    <w:rsid w:val="002E6B50"/>
    <w:rsid w:val="002E7D2B"/>
    <w:rsid w:val="002F0A93"/>
    <w:rsid w:val="002F6835"/>
    <w:rsid w:val="003041D4"/>
    <w:rsid w:val="00310BEE"/>
    <w:rsid w:val="00313C47"/>
    <w:rsid w:val="003164D4"/>
    <w:rsid w:val="003266C9"/>
    <w:rsid w:val="0032752F"/>
    <w:rsid w:val="00331EEA"/>
    <w:rsid w:val="00340457"/>
    <w:rsid w:val="0034190C"/>
    <w:rsid w:val="0034583C"/>
    <w:rsid w:val="00350B8A"/>
    <w:rsid w:val="00351987"/>
    <w:rsid w:val="00352A0B"/>
    <w:rsid w:val="003602C4"/>
    <w:rsid w:val="003649B0"/>
    <w:rsid w:val="00364EBC"/>
    <w:rsid w:val="00370AEA"/>
    <w:rsid w:val="003716BE"/>
    <w:rsid w:val="003730CE"/>
    <w:rsid w:val="00373FCA"/>
    <w:rsid w:val="0037556E"/>
    <w:rsid w:val="00376585"/>
    <w:rsid w:val="003810B6"/>
    <w:rsid w:val="00385690"/>
    <w:rsid w:val="00385D73"/>
    <w:rsid w:val="00387608"/>
    <w:rsid w:val="00391738"/>
    <w:rsid w:val="00392B35"/>
    <w:rsid w:val="003A07E1"/>
    <w:rsid w:val="003A3062"/>
    <w:rsid w:val="003A54AF"/>
    <w:rsid w:val="003A7C85"/>
    <w:rsid w:val="003B3D08"/>
    <w:rsid w:val="003B40DF"/>
    <w:rsid w:val="003C27D0"/>
    <w:rsid w:val="003C4F0A"/>
    <w:rsid w:val="003D1137"/>
    <w:rsid w:val="003D13EF"/>
    <w:rsid w:val="003D3346"/>
    <w:rsid w:val="003D3508"/>
    <w:rsid w:val="003D72B5"/>
    <w:rsid w:val="003E30BF"/>
    <w:rsid w:val="003E69ED"/>
    <w:rsid w:val="003F0930"/>
    <w:rsid w:val="003F20A2"/>
    <w:rsid w:val="003F272B"/>
    <w:rsid w:val="003F5D04"/>
    <w:rsid w:val="003F7CAB"/>
    <w:rsid w:val="004003FC"/>
    <w:rsid w:val="004024EF"/>
    <w:rsid w:val="004052E6"/>
    <w:rsid w:val="00413A59"/>
    <w:rsid w:val="004168E8"/>
    <w:rsid w:val="00421899"/>
    <w:rsid w:val="0042477C"/>
    <w:rsid w:val="00427A95"/>
    <w:rsid w:val="00431A2A"/>
    <w:rsid w:val="00431CDE"/>
    <w:rsid w:val="00433A7C"/>
    <w:rsid w:val="00433F53"/>
    <w:rsid w:val="004358E8"/>
    <w:rsid w:val="004436AC"/>
    <w:rsid w:val="00451CE0"/>
    <w:rsid w:val="004540DE"/>
    <w:rsid w:val="004557E0"/>
    <w:rsid w:val="00455CAE"/>
    <w:rsid w:val="004569C9"/>
    <w:rsid w:val="004613FF"/>
    <w:rsid w:val="0046384B"/>
    <w:rsid w:val="00463C21"/>
    <w:rsid w:val="00463E2F"/>
    <w:rsid w:val="00465026"/>
    <w:rsid w:val="004722C4"/>
    <w:rsid w:val="004743F7"/>
    <w:rsid w:val="00474D3F"/>
    <w:rsid w:val="00476973"/>
    <w:rsid w:val="00476C44"/>
    <w:rsid w:val="004856CB"/>
    <w:rsid w:val="00487AFB"/>
    <w:rsid w:val="004924DE"/>
    <w:rsid w:val="00495848"/>
    <w:rsid w:val="004A0A86"/>
    <w:rsid w:val="004A5BED"/>
    <w:rsid w:val="004B04E6"/>
    <w:rsid w:val="004B21DC"/>
    <w:rsid w:val="004B23F4"/>
    <w:rsid w:val="004B546C"/>
    <w:rsid w:val="004B6946"/>
    <w:rsid w:val="004B7BC3"/>
    <w:rsid w:val="004C4B8A"/>
    <w:rsid w:val="004C6EF3"/>
    <w:rsid w:val="004D29E4"/>
    <w:rsid w:val="004D479E"/>
    <w:rsid w:val="004E78B9"/>
    <w:rsid w:val="004F4F80"/>
    <w:rsid w:val="004F7955"/>
    <w:rsid w:val="005005F6"/>
    <w:rsid w:val="0050130F"/>
    <w:rsid w:val="005030A6"/>
    <w:rsid w:val="0050590F"/>
    <w:rsid w:val="005124EF"/>
    <w:rsid w:val="0051614A"/>
    <w:rsid w:val="00520773"/>
    <w:rsid w:val="00520880"/>
    <w:rsid w:val="00523F3B"/>
    <w:rsid w:val="00524FA9"/>
    <w:rsid w:val="0053120E"/>
    <w:rsid w:val="00541A4D"/>
    <w:rsid w:val="00542C46"/>
    <w:rsid w:val="005447FB"/>
    <w:rsid w:val="00545B40"/>
    <w:rsid w:val="00546F5B"/>
    <w:rsid w:val="0055103B"/>
    <w:rsid w:val="00553CE7"/>
    <w:rsid w:val="00556DCB"/>
    <w:rsid w:val="005614FE"/>
    <w:rsid w:val="00564122"/>
    <w:rsid w:val="00564F69"/>
    <w:rsid w:val="00565E0C"/>
    <w:rsid w:val="005663D2"/>
    <w:rsid w:val="005666FA"/>
    <w:rsid w:val="00574120"/>
    <w:rsid w:val="00575CB6"/>
    <w:rsid w:val="00576A2F"/>
    <w:rsid w:val="0058143B"/>
    <w:rsid w:val="00586C92"/>
    <w:rsid w:val="0059037F"/>
    <w:rsid w:val="00594340"/>
    <w:rsid w:val="00594971"/>
    <w:rsid w:val="00597DCC"/>
    <w:rsid w:val="005A48FF"/>
    <w:rsid w:val="005A69F0"/>
    <w:rsid w:val="005A6DBF"/>
    <w:rsid w:val="005B33DF"/>
    <w:rsid w:val="005B3C94"/>
    <w:rsid w:val="005B4A3B"/>
    <w:rsid w:val="005B5156"/>
    <w:rsid w:val="005B55DF"/>
    <w:rsid w:val="005C1000"/>
    <w:rsid w:val="005C403C"/>
    <w:rsid w:val="005D05E2"/>
    <w:rsid w:val="005D3E15"/>
    <w:rsid w:val="005D4AED"/>
    <w:rsid w:val="005D51DA"/>
    <w:rsid w:val="005D7394"/>
    <w:rsid w:val="005E1169"/>
    <w:rsid w:val="005E3DA8"/>
    <w:rsid w:val="005E5CAC"/>
    <w:rsid w:val="005F4A85"/>
    <w:rsid w:val="005F5016"/>
    <w:rsid w:val="005F64D0"/>
    <w:rsid w:val="006020DE"/>
    <w:rsid w:val="00602CE7"/>
    <w:rsid w:val="006033EB"/>
    <w:rsid w:val="00604230"/>
    <w:rsid w:val="006060C0"/>
    <w:rsid w:val="006101F1"/>
    <w:rsid w:val="0061071E"/>
    <w:rsid w:val="00613ED4"/>
    <w:rsid w:val="00614ACA"/>
    <w:rsid w:val="00622FF1"/>
    <w:rsid w:val="00623D2F"/>
    <w:rsid w:val="00624F9C"/>
    <w:rsid w:val="00624FD5"/>
    <w:rsid w:val="00625667"/>
    <w:rsid w:val="00627B1E"/>
    <w:rsid w:val="00631592"/>
    <w:rsid w:val="006330A7"/>
    <w:rsid w:val="00635235"/>
    <w:rsid w:val="006374AC"/>
    <w:rsid w:val="00640BA0"/>
    <w:rsid w:val="00641106"/>
    <w:rsid w:val="006426F6"/>
    <w:rsid w:val="00644578"/>
    <w:rsid w:val="00647777"/>
    <w:rsid w:val="00654D31"/>
    <w:rsid w:val="006636F2"/>
    <w:rsid w:val="00663ED1"/>
    <w:rsid w:val="006645C1"/>
    <w:rsid w:val="00670E37"/>
    <w:rsid w:val="00671835"/>
    <w:rsid w:val="00675678"/>
    <w:rsid w:val="0068226D"/>
    <w:rsid w:val="006824AC"/>
    <w:rsid w:val="00683B85"/>
    <w:rsid w:val="00683CC6"/>
    <w:rsid w:val="0068481B"/>
    <w:rsid w:val="006931E2"/>
    <w:rsid w:val="00697D59"/>
    <w:rsid w:val="00697DA7"/>
    <w:rsid w:val="006A5AAD"/>
    <w:rsid w:val="006B316A"/>
    <w:rsid w:val="006B4132"/>
    <w:rsid w:val="006C2501"/>
    <w:rsid w:val="006C32A0"/>
    <w:rsid w:val="006D161B"/>
    <w:rsid w:val="006E79E6"/>
    <w:rsid w:val="006F39FF"/>
    <w:rsid w:val="006F73CF"/>
    <w:rsid w:val="006F74B6"/>
    <w:rsid w:val="00700437"/>
    <w:rsid w:val="00700670"/>
    <w:rsid w:val="00705995"/>
    <w:rsid w:val="007164E4"/>
    <w:rsid w:val="007177CE"/>
    <w:rsid w:val="00726E55"/>
    <w:rsid w:val="00733E33"/>
    <w:rsid w:val="007355F3"/>
    <w:rsid w:val="007424DF"/>
    <w:rsid w:val="00743852"/>
    <w:rsid w:val="00747611"/>
    <w:rsid w:val="00751881"/>
    <w:rsid w:val="007521EE"/>
    <w:rsid w:val="00757C10"/>
    <w:rsid w:val="007602C3"/>
    <w:rsid w:val="00761252"/>
    <w:rsid w:val="00762503"/>
    <w:rsid w:val="00762D0E"/>
    <w:rsid w:val="007633A3"/>
    <w:rsid w:val="007648C9"/>
    <w:rsid w:val="007651B0"/>
    <w:rsid w:val="007659FF"/>
    <w:rsid w:val="00766705"/>
    <w:rsid w:val="0077522E"/>
    <w:rsid w:val="00781591"/>
    <w:rsid w:val="00781A91"/>
    <w:rsid w:val="00782A24"/>
    <w:rsid w:val="007943D9"/>
    <w:rsid w:val="007A3AF4"/>
    <w:rsid w:val="007A3F15"/>
    <w:rsid w:val="007A653C"/>
    <w:rsid w:val="007A7B2F"/>
    <w:rsid w:val="007C30A6"/>
    <w:rsid w:val="007D1A21"/>
    <w:rsid w:val="007D3C33"/>
    <w:rsid w:val="007D7AE7"/>
    <w:rsid w:val="007D7E47"/>
    <w:rsid w:val="007E1601"/>
    <w:rsid w:val="007E2214"/>
    <w:rsid w:val="007E3138"/>
    <w:rsid w:val="007E574B"/>
    <w:rsid w:val="007F0850"/>
    <w:rsid w:val="007F28BD"/>
    <w:rsid w:val="007F71C3"/>
    <w:rsid w:val="008024EC"/>
    <w:rsid w:val="00804B70"/>
    <w:rsid w:val="00807634"/>
    <w:rsid w:val="00807C9C"/>
    <w:rsid w:val="0081237C"/>
    <w:rsid w:val="00813AF3"/>
    <w:rsid w:val="00815939"/>
    <w:rsid w:val="00816DD6"/>
    <w:rsid w:val="00824680"/>
    <w:rsid w:val="00824E04"/>
    <w:rsid w:val="008251E9"/>
    <w:rsid w:val="008256A6"/>
    <w:rsid w:val="0082638F"/>
    <w:rsid w:val="0083074F"/>
    <w:rsid w:val="00832104"/>
    <w:rsid w:val="00836287"/>
    <w:rsid w:val="00836691"/>
    <w:rsid w:val="00843B93"/>
    <w:rsid w:val="008440DF"/>
    <w:rsid w:val="0084788B"/>
    <w:rsid w:val="00847CD7"/>
    <w:rsid w:val="008500A5"/>
    <w:rsid w:val="008501F6"/>
    <w:rsid w:val="0085692F"/>
    <w:rsid w:val="00857E40"/>
    <w:rsid w:val="00862AF6"/>
    <w:rsid w:val="00862B52"/>
    <w:rsid w:val="00863190"/>
    <w:rsid w:val="00863D9D"/>
    <w:rsid w:val="008650F1"/>
    <w:rsid w:val="0086517A"/>
    <w:rsid w:val="00865D39"/>
    <w:rsid w:val="00867DF1"/>
    <w:rsid w:val="008725A4"/>
    <w:rsid w:val="00881521"/>
    <w:rsid w:val="008856E7"/>
    <w:rsid w:val="00885805"/>
    <w:rsid w:val="008867BA"/>
    <w:rsid w:val="008907CC"/>
    <w:rsid w:val="00890D50"/>
    <w:rsid w:val="0089165F"/>
    <w:rsid w:val="00892485"/>
    <w:rsid w:val="00892DE2"/>
    <w:rsid w:val="00893706"/>
    <w:rsid w:val="008A3443"/>
    <w:rsid w:val="008B0F80"/>
    <w:rsid w:val="008B5618"/>
    <w:rsid w:val="008B7586"/>
    <w:rsid w:val="008C56C3"/>
    <w:rsid w:val="008C5A9E"/>
    <w:rsid w:val="008C71F2"/>
    <w:rsid w:val="008D0685"/>
    <w:rsid w:val="008D085A"/>
    <w:rsid w:val="008D1FB2"/>
    <w:rsid w:val="008D254F"/>
    <w:rsid w:val="008D3369"/>
    <w:rsid w:val="008D6777"/>
    <w:rsid w:val="008D7ACB"/>
    <w:rsid w:val="008E286C"/>
    <w:rsid w:val="008E2A2A"/>
    <w:rsid w:val="008E346B"/>
    <w:rsid w:val="008E5506"/>
    <w:rsid w:val="008F00E8"/>
    <w:rsid w:val="008F090D"/>
    <w:rsid w:val="008F2D47"/>
    <w:rsid w:val="008F6335"/>
    <w:rsid w:val="008F70A8"/>
    <w:rsid w:val="00904351"/>
    <w:rsid w:val="00913A21"/>
    <w:rsid w:val="009142A5"/>
    <w:rsid w:val="00917576"/>
    <w:rsid w:val="00920406"/>
    <w:rsid w:val="00922A4E"/>
    <w:rsid w:val="00927592"/>
    <w:rsid w:val="009318A4"/>
    <w:rsid w:val="00950547"/>
    <w:rsid w:val="00950752"/>
    <w:rsid w:val="00956537"/>
    <w:rsid w:val="009616A2"/>
    <w:rsid w:val="00963236"/>
    <w:rsid w:val="00964615"/>
    <w:rsid w:val="00967C0D"/>
    <w:rsid w:val="0097033B"/>
    <w:rsid w:val="009715AE"/>
    <w:rsid w:val="00977472"/>
    <w:rsid w:val="00981E27"/>
    <w:rsid w:val="009842C1"/>
    <w:rsid w:val="00990E8B"/>
    <w:rsid w:val="00993AC7"/>
    <w:rsid w:val="00994397"/>
    <w:rsid w:val="00995661"/>
    <w:rsid w:val="00996E78"/>
    <w:rsid w:val="009A0BED"/>
    <w:rsid w:val="009A1142"/>
    <w:rsid w:val="009A2F08"/>
    <w:rsid w:val="009A4439"/>
    <w:rsid w:val="009A4EA3"/>
    <w:rsid w:val="009B561B"/>
    <w:rsid w:val="009B633D"/>
    <w:rsid w:val="009B6A3C"/>
    <w:rsid w:val="009B79BE"/>
    <w:rsid w:val="009C5E5D"/>
    <w:rsid w:val="009D1247"/>
    <w:rsid w:val="009D2948"/>
    <w:rsid w:val="009D331C"/>
    <w:rsid w:val="009D45A6"/>
    <w:rsid w:val="009D4C7A"/>
    <w:rsid w:val="009D65DF"/>
    <w:rsid w:val="009E2000"/>
    <w:rsid w:val="009E308D"/>
    <w:rsid w:val="009E34FB"/>
    <w:rsid w:val="009E377D"/>
    <w:rsid w:val="009E3C13"/>
    <w:rsid w:val="009E4A8C"/>
    <w:rsid w:val="009E656D"/>
    <w:rsid w:val="009E6C56"/>
    <w:rsid w:val="009E7EEC"/>
    <w:rsid w:val="009F36AA"/>
    <w:rsid w:val="009F6669"/>
    <w:rsid w:val="00A0220D"/>
    <w:rsid w:val="00A0248A"/>
    <w:rsid w:val="00A02C65"/>
    <w:rsid w:val="00A1544E"/>
    <w:rsid w:val="00A20C4E"/>
    <w:rsid w:val="00A23222"/>
    <w:rsid w:val="00A23C38"/>
    <w:rsid w:val="00A32C49"/>
    <w:rsid w:val="00A33186"/>
    <w:rsid w:val="00A33644"/>
    <w:rsid w:val="00A34859"/>
    <w:rsid w:val="00A41CD4"/>
    <w:rsid w:val="00A43333"/>
    <w:rsid w:val="00A449FE"/>
    <w:rsid w:val="00A46BC9"/>
    <w:rsid w:val="00A5024E"/>
    <w:rsid w:val="00A5157B"/>
    <w:rsid w:val="00A573F1"/>
    <w:rsid w:val="00A615FD"/>
    <w:rsid w:val="00A626E7"/>
    <w:rsid w:val="00A62E51"/>
    <w:rsid w:val="00A62EF1"/>
    <w:rsid w:val="00A6456F"/>
    <w:rsid w:val="00A71232"/>
    <w:rsid w:val="00A73B6E"/>
    <w:rsid w:val="00A73EDB"/>
    <w:rsid w:val="00A77ECC"/>
    <w:rsid w:val="00A825D9"/>
    <w:rsid w:val="00A9115D"/>
    <w:rsid w:val="00A92E2D"/>
    <w:rsid w:val="00AA22BF"/>
    <w:rsid w:val="00AB0215"/>
    <w:rsid w:val="00AB2FEB"/>
    <w:rsid w:val="00AB7844"/>
    <w:rsid w:val="00AC0EEB"/>
    <w:rsid w:val="00AC5316"/>
    <w:rsid w:val="00AC78F6"/>
    <w:rsid w:val="00AD031F"/>
    <w:rsid w:val="00AD0DAB"/>
    <w:rsid w:val="00AD449B"/>
    <w:rsid w:val="00AD6A4D"/>
    <w:rsid w:val="00AE2D16"/>
    <w:rsid w:val="00AE53D3"/>
    <w:rsid w:val="00AF095C"/>
    <w:rsid w:val="00AF1966"/>
    <w:rsid w:val="00AF27B9"/>
    <w:rsid w:val="00AF2CDD"/>
    <w:rsid w:val="00AF3378"/>
    <w:rsid w:val="00B02B17"/>
    <w:rsid w:val="00B074D6"/>
    <w:rsid w:val="00B136E9"/>
    <w:rsid w:val="00B13B9D"/>
    <w:rsid w:val="00B21D38"/>
    <w:rsid w:val="00B27705"/>
    <w:rsid w:val="00B30EAD"/>
    <w:rsid w:val="00B32030"/>
    <w:rsid w:val="00B3300F"/>
    <w:rsid w:val="00B34CF4"/>
    <w:rsid w:val="00B36494"/>
    <w:rsid w:val="00B409A8"/>
    <w:rsid w:val="00B42D28"/>
    <w:rsid w:val="00B445BD"/>
    <w:rsid w:val="00B4626F"/>
    <w:rsid w:val="00B46B64"/>
    <w:rsid w:val="00B50392"/>
    <w:rsid w:val="00B527BB"/>
    <w:rsid w:val="00B57FB4"/>
    <w:rsid w:val="00B60294"/>
    <w:rsid w:val="00B610F0"/>
    <w:rsid w:val="00B61287"/>
    <w:rsid w:val="00B61331"/>
    <w:rsid w:val="00B61BE9"/>
    <w:rsid w:val="00B65B70"/>
    <w:rsid w:val="00B66F84"/>
    <w:rsid w:val="00B71221"/>
    <w:rsid w:val="00B71A31"/>
    <w:rsid w:val="00B749A7"/>
    <w:rsid w:val="00B74D71"/>
    <w:rsid w:val="00B77CEB"/>
    <w:rsid w:val="00B80B65"/>
    <w:rsid w:val="00B80EE8"/>
    <w:rsid w:val="00B929F0"/>
    <w:rsid w:val="00B93D9B"/>
    <w:rsid w:val="00B9434D"/>
    <w:rsid w:val="00BA6EB3"/>
    <w:rsid w:val="00BA729C"/>
    <w:rsid w:val="00BB4989"/>
    <w:rsid w:val="00BB72F0"/>
    <w:rsid w:val="00BB75FA"/>
    <w:rsid w:val="00BB77DA"/>
    <w:rsid w:val="00BC157E"/>
    <w:rsid w:val="00BC1769"/>
    <w:rsid w:val="00BC2074"/>
    <w:rsid w:val="00BC28BC"/>
    <w:rsid w:val="00BC6C72"/>
    <w:rsid w:val="00BD2AA4"/>
    <w:rsid w:val="00BD5266"/>
    <w:rsid w:val="00BD7D65"/>
    <w:rsid w:val="00BE13C0"/>
    <w:rsid w:val="00BE2710"/>
    <w:rsid w:val="00BE36E1"/>
    <w:rsid w:val="00BE6536"/>
    <w:rsid w:val="00BF1720"/>
    <w:rsid w:val="00BF340E"/>
    <w:rsid w:val="00BF6243"/>
    <w:rsid w:val="00C00161"/>
    <w:rsid w:val="00C017B7"/>
    <w:rsid w:val="00C01A69"/>
    <w:rsid w:val="00C05B32"/>
    <w:rsid w:val="00C11C27"/>
    <w:rsid w:val="00C12AE5"/>
    <w:rsid w:val="00C264CE"/>
    <w:rsid w:val="00C31629"/>
    <w:rsid w:val="00C33F6F"/>
    <w:rsid w:val="00C412C1"/>
    <w:rsid w:val="00C450C6"/>
    <w:rsid w:val="00C46E42"/>
    <w:rsid w:val="00C475B5"/>
    <w:rsid w:val="00C50A5B"/>
    <w:rsid w:val="00C51EA8"/>
    <w:rsid w:val="00C67148"/>
    <w:rsid w:val="00C677EA"/>
    <w:rsid w:val="00C749A9"/>
    <w:rsid w:val="00C75729"/>
    <w:rsid w:val="00C76980"/>
    <w:rsid w:val="00C76F7B"/>
    <w:rsid w:val="00C81D39"/>
    <w:rsid w:val="00C91848"/>
    <w:rsid w:val="00C927B5"/>
    <w:rsid w:val="00CA0109"/>
    <w:rsid w:val="00CA5DE0"/>
    <w:rsid w:val="00CA722A"/>
    <w:rsid w:val="00CB0190"/>
    <w:rsid w:val="00CB1256"/>
    <w:rsid w:val="00CB30B5"/>
    <w:rsid w:val="00CB3672"/>
    <w:rsid w:val="00CB37B3"/>
    <w:rsid w:val="00CB4B75"/>
    <w:rsid w:val="00CC20BC"/>
    <w:rsid w:val="00CC6E58"/>
    <w:rsid w:val="00CD09BE"/>
    <w:rsid w:val="00CD3C1B"/>
    <w:rsid w:val="00CD7A69"/>
    <w:rsid w:val="00CE5624"/>
    <w:rsid w:val="00CE6073"/>
    <w:rsid w:val="00CE6891"/>
    <w:rsid w:val="00CE6D72"/>
    <w:rsid w:val="00CF154A"/>
    <w:rsid w:val="00CF2877"/>
    <w:rsid w:val="00CF29FC"/>
    <w:rsid w:val="00CF46DD"/>
    <w:rsid w:val="00CF7221"/>
    <w:rsid w:val="00D04B89"/>
    <w:rsid w:val="00D06FEC"/>
    <w:rsid w:val="00D1252E"/>
    <w:rsid w:val="00D14895"/>
    <w:rsid w:val="00D23C0A"/>
    <w:rsid w:val="00D2639D"/>
    <w:rsid w:val="00D267F3"/>
    <w:rsid w:val="00D30D59"/>
    <w:rsid w:val="00D30E3F"/>
    <w:rsid w:val="00D312FA"/>
    <w:rsid w:val="00D32656"/>
    <w:rsid w:val="00D32F7C"/>
    <w:rsid w:val="00D33584"/>
    <w:rsid w:val="00D36B69"/>
    <w:rsid w:val="00D40970"/>
    <w:rsid w:val="00D41384"/>
    <w:rsid w:val="00D45119"/>
    <w:rsid w:val="00D46F1F"/>
    <w:rsid w:val="00D5178D"/>
    <w:rsid w:val="00D51EE5"/>
    <w:rsid w:val="00D5312A"/>
    <w:rsid w:val="00D53256"/>
    <w:rsid w:val="00D653CB"/>
    <w:rsid w:val="00D80755"/>
    <w:rsid w:val="00D8344F"/>
    <w:rsid w:val="00D869C4"/>
    <w:rsid w:val="00D873E5"/>
    <w:rsid w:val="00D9083E"/>
    <w:rsid w:val="00D92989"/>
    <w:rsid w:val="00D92CA7"/>
    <w:rsid w:val="00D953F4"/>
    <w:rsid w:val="00DA2720"/>
    <w:rsid w:val="00DA4984"/>
    <w:rsid w:val="00DC6689"/>
    <w:rsid w:val="00DD0439"/>
    <w:rsid w:val="00DD20B4"/>
    <w:rsid w:val="00DD21F1"/>
    <w:rsid w:val="00DD76BA"/>
    <w:rsid w:val="00DE72AE"/>
    <w:rsid w:val="00DF7FCA"/>
    <w:rsid w:val="00E05CA0"/>
    <w:rsid w:val="00E07F1B"/>
    <w:rsid w:val="00E102CA"/>
    <w:rsid w:val="00E119E5"/>
    <w:rsid w:val="00E125AF"/>
    <w:rsid w:val="00E1370C"/>
    <w:rsid w:val="00E15BA6"/>
    <w:rsid w:val="00E167A3"/>
    <w:rsid w:val="00E20E1E"/>
    <w:rsid w:val="00E21BED"/>
    <w:rsid w:val="00E32AD2"/>
    <w:rsid w:val="00E33EE8"/>
    <w:rsid w:val="00E34117"/>
    <w:rsid w:val="00E35EDF"/>
    <w:rsid w:val="00E37271"/>
    <w:rsid w:val="00E40A97"/>
    <w:rsid w:val="00E40DF9"/>
    <w:rsid w:val="00E41B9B"/>
    <w:rsid w:val="00E423FA"/>
    <w:rsid w:val="00E43E14"/>
    <w:rsid w:val="00E46E27"/>
    <w:rsid w:val="00E50F54"/>
    <w:rsid w:val="00E51533"/>
    <w:rsid w:val="00E515FD"/>
    <w:rsid w:val="00E539F2"/>
    <w:rsid w:val="00E61AE3"/>
    <w:rsid w:val="00E63813"/>
    <w:rsid w:val="00E65EDA"/>
    <w:rsid w:val="00E67530"/>
    <w:rsid w:val="00E76856"/>
    <w:rsid w:val="00E8265B"/>
    <w:rsid w:val="00E83FFF"/>
    <w:rsid w:val="00E87EF5"/>
    <w:rsid w:val="00E96FC1"/>
    <w:rsid w:val="00EA0F7D"/>
    <w:rsid w:val="00EA212C"/>
    <w:rsid w:val="00EA4B78"/>
    <w:rsid w:val="00EB00D6"/>
    <w:rsid w:val="00EB0732"/>
    <w:rsid w:val="00EB2828"/>
    <w:rsid w:val="00EB2F0E"/>
    <w:rsid w:val="00EB51FF"/>
    <w:rsid w:val="00EB7A72"/>
    <w:rsid w:val="00EC4E93"/>
    <w:rsid w:val="00EC5277"/>
    <w:rsid w:val="00EC5D66"/>
    <w:rsid w:val="00ED4059"/>
    <w:rsid w:val="00ED5C59"/>
    <w:rsid w:val="00ED6E9A"/>
    <w:rsid w:val="00EE1B11"/>
    <w:rsid w:val="00EE2475"/>
    <w:rsid w:val="00EE2D99"/>
    <w:rsid w:val="00EE6C22"/>
    <w:rsid w:val="00EF0FEC"/>
    <w:rsid w:val="00EF2F2A"/>
    <w:rsid w:val="00EF3596"/>
    <w:rsid w:val="00EF4432"/>
    <w:rsid w:val="00EF535B"/>
    <w:rsid w:val="00EF5AAA"/>
    <w:rsid w:val="00EF7021"/>
    <w:rsid w:val="00F10436"/>
    <w:rsid w:val="00F11FC5"/>
    <w:rsid w:val="00F12E10"/>
    <w:rsid w:val="00F1690C"/>
    <w:rsid w:val="00F1749E"/>
    <w:rsid w:val="00F208A9"/>
    <w:rsid w:val="00F210F7"/>
    <w:rsid w:val="00F24462"/>
    <w:rsid w:val="00F27D06"/>
    <w:rsid w:val="00F3200D"/>
    <w:rsid w:val="00F33AA2"/>
    <w:rsid w:val="00F34921"/>
    <w:rsid w:val="00F35DF0"/>
    <w:rsid w:val="00F448B1"/>
    <w:rsid w:val="00F47F81"/>
    <w:rsid w:val="00F537FE"/>
    <w:rsid w:val="00F53B77"/>
    <w:rsid w:val="00F53FE3"/>
    <w:rsid w:val="00F578CE"/>
    <w:rsid w:val="00F57D8F"/>
    <w:rsid w:val="00F6578F"/>
    <w:rsid w:val="00F706CE"/>
    <w:rsid w:val="00F70C24"/>
    <w:rsid w:val="00F73743"/>
    <w:rsid w:val="00F763B9"/>
    <w:rsid w:val="00F83E9A"/>
    <w:rsid w:val="00F86582"/>
    <w:rsid w:val="00F86E94"/>
    <w:rsid w:val="00F92306"/>
    <w:rsid w:val="00F93DE7"/>
    <w:rsid w:val="00F97E2A"/>
    <w:rsid w:val="00FA57C3"/>
    <w:rsid w:val="00FA5EED"/>
    <w:rsid w:val="00FC70F5"/>
    <w:rsid w:val="00FD0173"/>
    <w:rsid w:val="00FD1B7F"/>
    <w:rsid w:val="00FD25BF"/>
    <w:rsid w:val="00FD58DD"/>
    <w:rsid w:val="00FE4D94"/>
    <w:rsid w:val="00FE5512"/>
    <w:rsid w:val="00FE607D"/>
    <w:rsid w:val="00FE749B"/>
    <w:rsid w:val="00FF1208"/>
    <w:rsid w:val="00FF13EA"/>
    <w:rsid w:val="00FF15AC"/>
    <w:rsid w:val="00FF1939"/>
    <w:rsid w:val="016D2D5B"/>
    <w:rsid w:val="02BE7C0E"/>
    <w:rsid w:val="059348E7"/>
    <w:rsid w:val="07692C2C"/>
    <w:rsid w:val="07D83FC0"/>
    <w:rsid w:val="0883579E"/>
    <w:rsid w:val="0B6251C3"/>
    <w:rsid w:val="0DE143A0"/>
    <w:rsid w:val="0F96242D"/>
    <w:rsid w:val="12AC21CE"/>
    <w:rsid w:val="13B428C5"/>
    <w:rsid w:val="149167A6"/>
    <w:rsid w:val="15862BDA"/>
    <w:rsid w:val="15C01AFC"/>
    <w:rsid w:val="180B0C0E"/>
    <w:rsid w:val="18B51BD7"/>
    <w:rsid w:val="199E427B"/>
    <w:rsid w:val="1C4E3DD9"/>
    <w:rsid w:val="1E16322E"/>
    <w:rsid w:val="1FF12F17"/>
    <w:rsid w:val="21E173D6"/>
    <w:rsid w:val="251E2AA7"/>
    <w:rsid w:val="27DE2D9B"/>
    <w:rsid w:val="27FC632B"/>
    <w:rsid w:val="2ABD105D"/>
    <w:rsid w:val="2C7609D7"/>
    <w:rsid w:val="36984D18"/>
    <w:rsid w:val="3B5530F2"/>
    <w:rsid w:val="3C1C29D5"/>
    <w:rsid w:val="40D8083B"/>
    <w:rsid w:val="44493128"/>
    <w:rsid w:val="47A2150B"/>
    <w:rsid w:val="4AD31A66"/>
    <w:rsid w:val="4C7D6E7A"/>
    <w:rsid w:val="4C920EC7"/>
    <w:rsid w:val="4D071E35"/>
    <w:rsid w:val="511B2786"/>
    <w:rsid w:val="5AF72BA3"/>
    <w:rsid w:val="5B4673A1"/>
    <w:rsid w:val="5DF217CB"/>
    <w:rsid w:val="5FDE346E"/>
    <w:rsid w:val="5FFA465D"/>
    <w:rsid w:val="664B32AB"/>
    <w:rsid w:val="68EC2EF6"/>
    <w:rsid w:val="6B05686F"/>
    <w:rsid w:val="6BE93316"/>
    <w:rsid w:val="6CBC68E3"/>
    <w:rsid w:val="6F9872BA"/>
    <w:rsid w:val="705611BD"/>
    <w:rsid w:val="70A3050D"/>
    <w:rsid w:val="746D267B"/>
    <w:rsid w:val="75256B5E"/>
    <w:rsid w:val="779D4E97"/>
    <w:rsid w:val="780F3794"/>
    <w:rsid w:val="7C046D12"/>
    <w:rsid w:val="7DFD2C88"/>
    <w:rsid w:val="7F856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2"/>
      <w:jc w:val="both"/>
    </w:pPr>
    <w:rPr>
      <w:rFonts w:eastAsia="仿宋" w:asciiTheme="minorHAnsi" w:hAnsiTheme="minorHAnsi" w:cstheme="minorBidi"/>
      <w:kern w:val="2"/>
      <w:sz w:val="28"/>
      <w:szCs w:val="22"/>
      <w:lang w:val="en-US" w:eastAsia="zh-CN" w:bidi="ar-SA"/>
    </w:rPr>
  </w:style>
  <w:style w:type="paragraph" w:styleId="3">
    <w:name w:val="heading 1"/>
    <w:basedOn w:val="1"/>
    <w:next w:val="1"/>
    <w:link w:val="32"/>
    <w:qFormat/>
    <w:uiPriority w:val="9"/>
    <w:pPr>
      <w:keepNext/>
      <w:keepLines/>
      <w:numPr>
        <w:ilvl w:val="0"/>
        <w:numId w:val="1"/>
      </w:numPr>
      <w:spacing w:before="100" w:beforeLines="100" w:after="100" w:afterLines="100"/>
      <w:jc w:val="center"/>
      <w:outlineLvl w:val="0"/>
    </w:pPr>
    <w:rPr>
      <w:rFonts w:ascii="宋体" w:hAnsi="宋体"/>
      <w:b/>
      <w:bCs/>
      <w:kern w:val="44"/>
      <w:sz w:val="36"/>
      <w:szCs w:val="44"/>
    </w:rPr>
  </w:style>
  <w:style w:type="paragraph" w:styleId="4">
    <w:name w:val="heading 2"/>
    <w:basedOn w:val="1"/>
    <w:next w:val="1"/>
    <w:link w:val="33"/>
    <w:unhideWhenUsed/>
    <w:qFormat/>
    <w:uiPriority w:val="9"/>
    <w:pPr>
      <w:keepNext/>
      <w:keepLines/>
      <w:numPr>
        <w:ilvl w:val="0"/>
        <w:numId w:val="2"/>
      </w:numPr>
      <w:spacing w:before="100" w:beforeLines="100" w:after="100" w:afterLines="100"/>
      <w:jc w:val="center"/>
      <w:outlineLvl w:val="1"/>
    </w:pPr>
    <w:rPr>
      <w:rFonts w:eastAsia="黑体" w:asciiTheme="majorHAnsi" w:hAnsiTheme="majorHAnsi" w:cstheme="majorBidi"/>
      <w:b/>
      <w:bCs/>
      <w:sz w:val="32"/>
      <w:szCs w:val="32"/>
    </w:rPr>
  </w:style>
  <w:style w:type="paragraph" w:styleId="5">
    <w:name w:val="heading 3"/>
    <w:basedOn w:val="1"/>
    <w:next w:val="1"/>
    <w:link w:val="34"/>
    <w:unhideWhenUsed/>
    <w:qFormat/>
    <w:uiPriority w:val="9"/>
    <w:pPr>
      <w:keepNext/>
      <w:keepLines/>
      <w:numPr>
        <w:ilvl w:val="0"/>
        <w:numId w:val="3"/>
      </w:numPr>
      <w:spacing w:before="50" w:beforeLines="50" w:after="50" w:afterLines="50"/>
      <w:outlineLvl w:val="2"/>
    </w:pPr>
    <w:rPr>
      <w:rFonts w:ascii="宋体" w:hAnsi="宋体" w:eastAsia="黑体"/>
      <w:b/>
      <w:bCs/>
      <w:sz w:val="30"/>
      <w:szCs w:val="32"/>
    </w:rPr>
  </w:style>
  <w:style w:type="paragraph" w:styleId="6">
    <w:name w:val="heading 4"/>
    <w:basedOn w:val="1"/>
    <w:next w:val="1"/>
    <w:link w:val="35"/>
    <w:unhideWhenUsed/>
    <w:qFormat/>
    <w:uiPriority w:val="9"/>
    <w:pPr>
      <w:keepNext/>
      <w:keepLines/>
      <w:numPr>
        <w:ilvl w:val="0"/>
        <w:numId w:val="4"/>
      </w:numPr>
      <w:spacing w:before="100" w:beforeAutospacing="1"/>
      <w:outlineLvl w:val="3"/>
    </w:pPr>
    <w:rPr>
      <w:rFonts w:ascii="仿宋_GB2312" w:hAnsi="华文仿宋" w:eastAsia="黑体" w:cs="仿宋_GB2312"/>
      <w:b/>
      <w:szCs w:val="28"/>
    </w:rPr>
  </w:style>
  <w:style w:type="paragraph" w:styleId="7">
    <w:name w:val="heading 5"/>
    <w:basedOn w:val="1"/>
    <w:next w:val="1"/>
    <w:link w:val="36"/>
    <w:unhideWhenUsed/>
    <w:qFormat/>
    <w:uiPriority w:val="9"/>
    <w:pPr>
      <w:keepNext/>
      <w:keepLines/>
      <w:numPr>
        <w:ilvl w:val="0"/>
        <w:numId w:val="5"/>
      </w:numPr>
      <w:spacing w:before="50" w:beforeLines="50" w:after="50" w:afterLines="50"/>
      <w:outlineLvl w:val="4"/>
    </w:pPr>
    <w:rPr>
      <w:rFonts w:ascii="宋体" w:hAnsi="宋体"/>
      <w:b/>
      <w:bCs/>
      <w:sz w:val="30"/>
      <w:szCs w:val="28"/>
    </w:rPr>
  </w:style>
  <w:style w:type="paragraph" w:styleId="8">
    <w:name w:val="heading 6"/>
    <w:basedOn w:val="1"/>
    <w:next w:val="1"/>
    <w:link w:val="37"/>
    <w:unhideWhenUsed/>
    <w:qFormat/>
    <w:uiPriority w:val="9"/>
    <w:pPr>
      <w:keepNext/>
      <w:keepLines/>
      <w:numPr>
        <w:ilvl w:val="0"/>
        <w:numId w:val="6"/>
      </w:numPr>
      <w:outlineLvl w:val="5"/>
    </w:pPr>
    <w:rPr>
      <w:rFonts w:asciiTheme="majorHAnsi" w:hAnsiTheme="majorHAnsi" w:eastAsiaTheme="majorEastAsia" w:cstheme="majorBidi"/>
      <w:b/>
      <w:bCs/>
      <w:szCs w:val="24"/>
    </w:rPr>
  </w:style>
  <w:style w:type="paragraph" w:styleId="9">
    <w:name w:val="heading 7"/>
    <w:basedOn w:val="1"/>
    <w:next w:val="1"/>
    <w:link w:val="38"/>
    <w:unhideWhenUsed/>
    <w:qFormat/>
    <w:uiPriority w:val="9"/>
    <w:pPr>
      <w:keepNext/>
      <w:keepLines/>
      <w:numPr>
        <w:ilvl w:val="0"/>
        <w:numId w:val="7"/>
      </w:numPr>
      <w:outlineLvl w:val="6"/>
    </w:pPr>
    <w:rPr>
      <w:b/>
      <w:bCs/>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正文-公1"/>
    <w:next w:val="1"/>
    <w:qFormat/>
    <w:uiPriority w:val="0"/>
    <w:pPr>
      <w:widowControl w:val="0"/>
      <w:ind w:firstLine="200" w:firstLineChars="200"/>
      <w:jc w:val="both"/>
    </w:pPr>
    <w:rPr>
      <w:rFonts w:ascii="Times New Roman" w:hAnsi="Times New Roman" w:eastAsia="仿宋_GB2312" w:cs="Times New Roman"/>
      <w:kern w:val="2"/>
      <w:sz w:val="32"/>
      <w:szCs w:val="24"/>
      <w:lang w:val="en-US" w:eastAsia="zh-CN" w:bidi="ar-SA"/>
    </w:rPr>
  </w:style>
  <w:style w:type="paragraph" w:styleId="10">
    <w:name w:val="Normal Indent"/>
    <w:basedOn w:val="1"/>
    <w:qFormat/>
    <w:uiPriority w:val="0"/>
    <w:pPr>
      <w:ind w:firstLine="420" w:firstLineChars="200"/>
    </w:pPr>
  </w:style>
  <w:style w:type="paragraph" w:styleId="11">
    <w:name w:val="annotation text"/>
    <w:basedOn w:val="1"/>
    <w:link w:val="46"/>
    <w:semiHidden/>
    <w:unhideWhenUsed/>
    <w:qFormat/>
    <w:uiPriority w:val="99"/>
    <w:pPr>
      <w:jc w:val="left"/>
    </w:pPr>
  </w:style>
  <w:style w:type="paragraph" w:styleId="12">
    <w:name w:val="Body Text"/>
    <w:basedOn w:val="1"/>
    <w:qFormat/>
    <w:uiPriority w:val="0"/>
    <w:pPr>
      <w:autoSpaceDE w:val="0"/>
      <w:autoSpaceDN w:val="0"/>
      <w:jc w:val="left"/>
    </w:pPr>
    <w:rPr>
      <w:rFonts w:ascii="仿宋" w:hAnsi="仿宋" w:eastAsia="仿宋" w:cs="仿宋"/>
      <w:kern w:val="0"/>
      <w:sz w:val="32"/>
      <w:szCs w:val="32"/>
      <w:lang w:eastAsia="en-US"/>
    </w:rPr>
  </w:style>
  <w:style w:type="paragraph" w:styleId="13">
    <w:name w:val="toc 3"/>
    <w:basedOn w:val="1"/>
    <w:next w:val="1"/>
    <w:unhideWhenUsed/>
    <w:qFormat/>
    <w:uiPriority w:val="39"/>
    <w:pPr>
      <w:ind w:left="840" w:leftChars="400"/>
    </w:pPr>
  </w:style>
  <w:style w:type="paragraph" w:styleId="14">
    <w:name w:val="Plain Text"/>
    <w:unhideWhenUsed/>
    <w:qFormat/>
    <w:uiPriority w:val="99"/>
    <w:pPr>
      <w:widowControl w:val="0"/>
      <w:adjustRightInd w:val="0"/>
      <w:snapToGrid w:val="0"/>
      <w:spacing w:line="360" w:lineRule="auto"/>
      <w:ind w:firstLine="200" w:firstLineChars="200"/>
      <w:jc w:val="both"/>
    </w:pPr>
    <w:rPr>
      <w:rFonts w:ascii="宋体" w:hAnsi="Courier New" w:eastAsia="仿宋" w:cs="Courier New"/>
      <w:kern w:val="2"/>
      <w:sz w:val="32"/>
      <w:szCs w:val="21"/>
      <w:lang w:val="en-US" w:eastAsia="zh-CN" w:bidi="ar-SA"/>
    </w:rPr>
  </w:style>
  <w:style w:type="paragraph" w:styleId="15">
    <w:name w:val="Balloon Text"/>
    <w:basedOn w:val="1"/>
    <w:link w:val="48"/>
    <w:semiHidden/>
    <w:unhideWhenUsed/>
    <w:qFormat/>
    <w:uiPriority w:val="99"/>
    <w:pPr>
      <w:spacing w:line="240" w:lineRule="auto"/>
    </w:pPr>
    <w:rPr>
      <w:sz w:val="18"/>
      <w:szCs w:val="18"/>
    </w:rPr>
  </w:style>
  <w:style w:type="paragraph" w:styleId="16">
    <w:name w:val="footer"/>
    <w:basedOn w:val="1"/>
    <w:link w:val="43"/>
    <w:unhideWhenUsed/>
    <w:qFormat/>
    <w:uiPriority w:val="99"/>
    <w:pPr>
      <w:tabs>
        <w:tab w:val="center" w:pos="4153"/>
        <w:tab w:val="right" w:pos="8306"/>
      </w:tabs>
      <w:snapToGrid w:val="0"/>
      <w:spacing w:line="240" w:lineRule="auto"/>
      <w:jc w:val="left"/>
    </w:pPr>
    <w:rPr>
      <w:sz w:val="18"/>
      <w:szCs w:val="18"/>
    </w:rPr>
  </w:style>
  <w:style w:type="paragraph" w:styleId="17">
    <w:name w:val="header"/>
    <w:basedOn w:val="1"/>
    <w:link w:val="4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8">
    <w:name w:val="toc 1"/>
    <w:basedOn w:val="1"/>
    <w:next w:val="1"/>
    <w:unhideWhenUsed/>
    <w:qFormat/>
    <w:uiPriority w:val="39"/>
  </w:style>
  <w:style w:type="paragraph" w:styleId="19">
    <w:name w:val="toc 2"/>
    <w:basedOn w:val="1"/>
    <w:next w:val="1"/>
    <w:unhideWhenUsed/>
    <w:qFormat/>
    <w:uiPriority w:val="39"/>
    <w:pPr>
      <w:ind w:left="420" w:leftChars="200"/>
    </w:pPr>
  </w:style>
  <w:style w:type="paragraph" w:styleId="20">
    <w:name w:val="Normal (Web)"/>
    <w:basedOn w:val="1"/>
    <w:semiHidden/>
    <w:unhideWhenUsed/>
    <w:qFormat/>
    <w:uiPriority w:val="99"/>
    <w:pPr>
      <w:widowControl/>
      <w:spacing w:before="100" w:beforeAutospacing="1" w:after="100" w:afterAutospacing="1" w:line="240" w:lineRule="auto"/>
      <w:jc w:val="left"/>
    </w:pPr>
    <w:rPr>
      <w:rFonts w:ascii="宋体" w:hAnsi="宋体" w:eastAsia="宋体" w:cs="宋体"/>
      <w:kern w:val="0"/>
      <w:szCs w:val="24"/>
    </w:rPr>
  </w:style>
  <w:style w:type="paragraph" w:styleId="21">
    <w:name w:val="Title"/>
    <w:basedOn w:val="1"/>
    <w:next w:val="1"/>
    <w:qFormat/>
    <w:uiPriority w:val="0"/>
    <w:pPr>
      <w:jc w:val="center"/>
      <w:outlineLvl w:val="0"/>
    </w:pPr>
    <w:rPr>
      <w:rFonts w:ascii="Cambria" w:hAnsi="Cambria"/>
      <w:b/>
      <w:bCs/>
      <w:sz w:val="32"/>
      <w:szCs w:val="32"/>
    </w:rPr>
  </w:style>
  <w:style w:type="paragraph" w:styleId="22">
    <w:name w:val="annotation subject"/>
    <w:basedOn w:val="11"/>
    <w:next w:val="11"/>
    <w:link w:val="47"/>
    <w:semiHidden/>
    <w:unhideWhenUsed/>
    <w:qFormat/>
    <w:uiPriority w:val="99"/>
    <w:rPr>
      <w:b/>
      <w:bCs/>
    </w:rPr>
  </w:style>
  <w:style w:type="paragraph" w:styleId="23">
    <w:name w:val="Body Text First Indent"/>
    <w:basedOn w:val="12"/>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22"/>
    <w:rPr>
      <w:b/>
      <w:bCs/>
    </w:rPr>
  </w:style>
  <w:style w:type="character" w:styleId="28">
    <w:name w:val="page number"/>
    <w:basedOn w:val="26"/>
    <w:qFormat/>
    <w:uiPriority w:val="0"/>
  </w:style>
  <w:style w:type="character" w:styleId="29">
    <w:name w:val="Emphasis"/>
    <w:basedOn w:val="26"/>
    <w:qFormat/>
    <w:uiPriority w:val="20"/>
    <w:rPr>
      <w:i/>
      <w:iCs/>
    </w:rPr>
  </w:style>
  <w:style w:type="character" w:styleId="30">
    <w:name w:val="Hyperlink"/>
    <w:basedOn w:val="26"/>
    <w:unhideWhenUsed/>
    <w:qFormat/>
    <w:uiPriority w:val="99"/>
    <w:rPr>
      <w:color w:val="0563C1" w:themeColor="hyperlink"/>
      <w:u w:val="single"/>
      <w14:textFill>
        <w14:solidFill>
          <w14:schemeClr w14:val="hlink"/>
        </w14:solidFill>
      </w14:textFill>
    </w:rPr>
  </w:style>
  <w:style w:type="character" w:styleId="31">
    <w:name w:val="annotation reference"/>
    <w:basedOn w:val="26"/>
    <w:semiHidden/>
    <w:unhideWhenUsed/>
    <w:qFormat/>
    <w:uiPriority w:val="99"/>
    <w:rPr>
      <w:sz w:val="21"/>
      <w:szCs w:val="21"/>
    </w:rPr>
  </w:style>
  <w:style w:type="character" w:customStyle="1" w:styleId="32">
    <w:name w:val="标题 1 字符"/>
    <w:basedOn w:val="26"/>
    <w:link w:val="3"/>
    <w:qFormat/>
    <w:uiPriority w:val="9"/>
    <w:rPr>
      <w:rFonts w:ascii="宋体" w:hAnsi="宋体" w:eastAsia="仿宋"/>
      <w:b/>
      <w:bCs/>
      <w:kern w:val="44"/>
      <w:sz w:val="36"/>
      <w:szCs w:val="44"/>
    </w:rPr>
  </w:style>
  <w:style w:type="character" w:customStyle="1" w:styleId="33">
    <w:name w:val="标题 2 字符"/>
    <w:basedOn w:val="26"/>
    <w:link w:val="4"/>
    <w:qFormat/>
    <w:uiPriority w:val="9"/>
    <w:rPr>
      <w:rFonts w:eastAsia="黑体" w:asciiTheme="majorHAnsi" w:hAnsiTheme="majorHAnsi" w:cstheme="majorBidi"/>
      <w:b/>
      <w:bCs/>
      <w:sz w:val="32"/>
      <w:szCs w:val="32"/>
    </w:rPr>
  </w:style>
  <w:style w:type="character" w:customStyle="1" w:styleId="34">
    <w:name w:val="标题 3 字符"/>
    <w:basedOn w:val="26"/>
    <w:link w:val="5"/>
    <w:qFormat/>
    <w:uiPriority w:val="9"/>
    <w:rPr>
      <w:rFonts w:ascii="宋体" w:hAnsi="宋体" w:eastAsia="黑体"/>
      <w:b/>
      <w:bCs/>
      <w:sz w:val="30"/>
      <w:szCs w:val="32"/>
    </w:rPr>
  </w:style>
  <w:style w:type="character" w:customStyle="1" w:styleId="35">
    <w:name w:val="标题 4 字符"/>
    <w:basedOn w:val="26"/>
    <w:link w:val="6"/>
    <w:qFormat/>
    <w:uiPriority w:val="9"/>
    <w:rPr>
      <w:rFonts w:ascii="仿宋_GB2312" w:hAnsi="华文仿宋" w:eastAsia="黑体" w:cs="仿宋_GB2312"/>
      <w:b/>
      <w:sz w:val="28"/>
      <w:szCs w:val="28"/>
    </w:rPr>
  </w:style>
  <w:style w:type="character" w:customStyle="1" w:styleId="36">
    <w:name w:val="标题 5 字符"/>
    <w:basedOn w:val="26"/>
    <w:link w:val="7"/>
    <w:qFormat/>
    <w:uiPriority w:val="9"/>
    <w:rPr>
      <w:rFonts w:ascii="宋体" w:hAnsi="宋体" w:eastAsia="仿宋"/>
      <w:b/>
      <w:bCs/>
      <w:sz w:val="30"/>
      <w:szCs w:val="28"/>
    </w:rPr>
  </w:style>
  <w:style w:type="character" w:customStyle="1" w:styleId="37">
    <w:name w:val="标题 6 字符"/>
    <w:basedOn w:val="26"/>
    <w:link w:val="8"/>
    <w:qFormat/>
    <w:uiPriority w:val="9"/>
    <w:rPr>
      <w:rFonts w:asciiTheme="majorHAnsi" w:hAnsiTheme="majorHAnsi" w:eastAsiaTheme="majorEastAsia" w:cstheme="majorBidi"/>
      <w:b/>
      <w:bCs/>
      <w:sz w:val="24"/>
      <w:szCs w:val="24"/>
    </w:rPr>
  </w:style>
  <w:style w:type="character" w:customStyle="1" w:styleId="38">
    <w:name w:val="标题 7 字符"/>
    <w:basedOn w:val="26"/>
    <w:link w:val="9"/>
    <w:qFormat/>
    <w:uiPriority w:val="9"/>
    <w:rPr>
      <w:rFonts w:eastAsia="仿宋"/>
      <w:b/>
      <w:bCs/>
      <w:sz w:val="24"/>
      <w:szCs w:val="24"/>
    </w:rPr>
  </w:style>
  <w:style w:type="paragraph" w:styleId="39">
    <w:name w:val="List Paragraph"/>
    <w:basedOn w:val="1"/>
    <w:link w:val="40"/>
    <w:qFormat/>
    <w:uiPriority w:val="0"/>
    <w:pPr>
      <w:ind w:firstLine="420" w:firstLineChars="200"/>
    </w:pPr>
  </w:style>
  <w:style w:type="character" w:customStyle="1" w:styleId="40">
    <w:name w:val="列表段落 字符"/>
    <w:link w:val="39"/>
    <w:qFormat/>
    <w:uiPriority w:val="0"/>
    <w:rPr>
      <w:sz w:val="24"/>
    </w:rPr>
  </w:style>
  <w:style w:type="paragraph" w:customStyle="1" w:styleId="41">
    <w:name w:val="TOC 标题1"/>
    <w:basedOn w:val="3"/>
    <w:next w:val="1"/>
    <w:unhideWhenUsed/>
    <w:qFormat/>
    <w:uiPriority w:val="39"/>
    <w:pPr>
      <w:widowControl/>
      <w:numPr>
        <w:numId w:val="0"/>
      </w:numPr>
      <w:spacing w:before="240" w:beforeLines="0" w:after="0" w:afterLines="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42">
    <w:name w:val="页眉 字符"/>
    <w:basedOn w:val="26"/>
    <w:link w:val="17"/>
    <w:qFormat/>
    <w:uiPriority w:val="99"/>
    <w:rPr>
      <w:sz w:val="18"/>
      <w:szCs w:val="18"/>
    </w:rPr>
  </w:style>
  <w:style w:type="character" w:customStyle="1" w:styleId="43">
    <w:name w:val="页脚 字符"/>
    <w:basedOn w:val="26"/>
    <w:link w:val="16"/>
    <w:qFormat/>
    <w:uiPriority w:val="99"/>
    <w:rPr>
      <w:sz w:val="18"/>
      <w:szCs w:val="18"/>
    </w:rPr>
  </w:style>
  <w:style w:type="character" w:customStyle="1" w:styleId="44">
    <w:name w:val="apple-converted-space"/>
    <w:basedOn w:val="26"/>
    <w:qFormat/>
    <w:uiPriority w:val="0"/>
  </w:style>
  <w:style w:type="paragraph" w:customStyle="1" w:styleId="45">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46">
    <w:name w:val="批注文字 字符"/>
    <w:basedOn w:val="26"/>
    <w:link w:val="11"/>
    <w:semiHidden/>
    <w:qFormat/>
    <w:uiPriority w:val="99"/>
    <w:rPr>
      <w:sz w:val="24"/>
    </w:rPr>
  </w:style>
  <w:style w:type="character" w:customStyle="1" w:styleId="47">
    <w:name w:val="批注主题 字符"/>
    <w:basedOn w:val="46"/>
    <w:link w:val="22"/>
    <w:semiHidden/>
    <w:qFormat/>
    <w:uiPriority w:val="99"/>
    <w:rPr>
      <w:b/>
      <w:bCs/>
      <w:sz w:val="24"/>
    </w:rPr>
  </w:style>
  <w:style w:type="character" w:customStyle="1" w:styleId="48">
    <w:name w:val="批注框文本 字符"/>
    <w:basedOn w:val="26"/>
    <w:link w:val="15"/>
    <w:semiHidden/>
    <w:qFormat/>
    <w:uiPriority w:val="99"/>
    <w:rPr>
      <w:sz w:val="18"/>
      <w:szCs w:val="18"/>
    </w:rPr>
  </w:style>
  <w:style w:type="paragraph" w:customStyle="1" w:styleId="49">
    <w:name w:val="reader-word-layer"/>
    <w:basedOn w:val="1"/>
    <w:qFormat/>
    <w:uiPriority w:val="0"/>
    <w:pPr>
      <w:widowControl/>
      <w:spacing w:before="100" w:beforeAutospacing="1" w:after="100" w:afterAutospacing="1" w:line="240" w:lineRule="auto"/>
      <w:jc w:val="left"/>
    </w:pPr>
    <w:rPr>
      <w:rFonts w:ascii="宋体" w:hAnsi="宋体" w:eastAsia="宋体" w:cs="宋体"/>
      <w:kern w:val="0"/>
      <w:szCs w:val="24"/>
    </w:rPr>
  </w:style>
  <w:style w:type="paragraph" w:customStyle="1" w:styleId="50">
    <w:name w:val="1-正文"/>
    <w:basedOn w:val="1"/>
    <w:link w:val="51"/>
    <w:qFormat/>
    <w:uiPriority w:val="0"/>
    <w:rPr>
      <w:rFonts w:cs="Times New Roman" w:asciiTheme="minorEastAsia" w:hAnsiTheme="minorEastAsia" w:eastAsiaTheme="minorEastAsia"/>
      <w:sz w:val="24"/>
    </w:rPr>
  </w:style>
  <w:style w:type="character" w:customStyle="1" w:styleId="51">
    <w:name w:val="1-正文 Char"/>
    <w:basedOn w:val="26"/>
    <w:link w:val="50"/>
    <w:qFormat/>
    <w:uiPriority w:val="0"/>
    <w:rPr>
      <w:rFonts w:cs="Times New Roman" w:asciiTheme="minorEastAsia" w:hAnsiTheme="minorEastAsia"/>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normal">
      <a:majorFont>
        <a:latin typeface="Times New Roman"/>
        <a:ea typeface="宋体"/>
        <a:cs typeface=""/>
      </a:majorFont>
      <a:minorFont>
        <a:latin typeface="Calibri"/>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77F05C-B6A1-4945-AE82-9D3CB22A7175}">
  <ds:schemaRefs/>
</ds:datastoreItem>
</file>

<file path=docProps/app.xml><?xml version="1.0" encoding="utf-8"?>
<Properties xmlns="http://schemas.openxmlformats.org/officeDocument/2006/extended-properties" xmlns:vt="http://schemas.openxmlformats.org/officeDocument/2006/docPropsVTypes">
  <Template>Normal.dotm</Template>
  <Company>boya</Company>
  <Pages>58</Pages>
  <Words>31511</Words>
  <Characters>32045</Characters>
  <Lines>11</Lines>
  <Paragraphs>3</Paragraphs>
  <TotalTime>18</TotalTime>
  <ScaleCrop>false</ScaleCrop>
  <LinksUpToDate>false</LinksUpToDate>
  <CharactersWithSpaces>32822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2017-01-23T04:02:00Z</dcterms:created>
  <dc:creator>thomas yan</dc:creator>
  <cp:lastModifiedBy>张健</cp:lastModifiedBy>
  <cp:lastPrinted>2022-09-15T05:50:53Z</cp:lastPrinted>
  <dcterms:modified xsi:type="dcterms:W3CDTF">2022-09-15T05:51:54Z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A81AF7E511B94B5A9B9626193DCEECC7</vt:lpwstr>
  </property>
</Properties>
</file>